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E017" w14:textId="77777777" w:rsidR="002E7F0C" w:rsidRDefault="00000000">
      <w:pPr>
        <w:spacing w:after="160"/>
        <w:jc w:val="center"/>
        <w:rPr>
          <w:color w:val="FF0000"/>
          <w:sz w:val="20"/>
          <w:szCs w:val="20"/>
        </w:rPr>
      </w:pPr>
      <w:r>
        <w:rPr>
          <w:b/>
          <w:i/>
        </w:rPr>
        <w:t xml:space="preserve">Deep Learning as an Implementation of Mathematical Theory for Modeling Sentiment Dynamics: The Case of Pertamina’s “BBM </w:t>
      </w:r>
      <w:proofErr w:type="spellStart"/>
      <w:r>
        <w:rPr>
          <w:b/>
          <w:i/>
        </w:rPr>
        <w:t>Oplosan</w:t>
      </w:r>
      <w:proofErr w:type="spellEnd"/>
      <w:r>
        <w:rPr>
          <w:b/>
          <w:i/>
        </w:rPr>
        <w:t>” Issue</w:t>
      </w:r>
    </w:p>
    <w:p w14:paraId="5E989903" w14:textId="77777777" w:rsidR="002E7F0C" w:rsidRDefault="00000000">
      <w:pPr>
        <w:spacing w:before="60" w:after="60"/>
        <w:ind w:hanging="2"/>
        <w:jc w:val="center"/>
        <w:rPr>
          <w:b/>
          <w:color w:val="FF0000"/>
          <w:sz w:val="20"/>
          <w:szCs w:val="20"/>
        </w:rPr>
      </w:pPr>
      <w:r>
        <w:rPr>
          <w:b/>
          <w:sz w:val="20"/>
          <w:szCs w:val="20"/>
        </w:rPr>
        <w:t>Andy Hermawan</w:t>
      </w:r>
      <w:r>
        <w:rPr>
          <w:b/>
          <w:sz w:val="20"/>
          <w:szCs w:val="20"/>
          <w:vertAlign w:val="superscript"/>
        </w:rPr>
        <w:t>1</w:t>
      </w:r>
      <w:r>
        <w:rPr>
          <w:b/>
          <w:sz w:val="20"/>
          <w:szCs w:val="20"/>
        </w:rPr>
        <w:t xml:space="preserve">, Adinda </w:t>
      </w:r>
      <w:proofErr w:type="spellStart"/>
      <w:r>
        <w:rPr>
          <w:b/>
          <w:sz w:val="20"/>
          <w:szCs w:val="20"/>
        </w:rPr>
        <w:t>Prilly</w:t>
      </w:r>
      <w:proofErr w:type="spellEnd"/>
      <w:r>
        <w:rPr>
          <w:b/>
          <w:sz w:val="20"/>
          <w:szCs w:val="20"/>
        </w:rPr>
        <w:t xml:space="preserve"> Cindana</w:t>
      </w:r>
      <w:r>
        <w:rPr>
          <w:b/>
          <w:sz w:val="20"/>
          <w:szCs w:val="20"/>
          <w:vertAlign w:val="superscript"/>
        </w:rPr>
        <w:t>2</w:t>
      </w:r>
      <w:r>
        <w:rPr>
          <w:b/>
          <w:sz w:val="20"/>
          <w:szCs w:val="20"/>
        </w:rPr>
        <w:t>, Dian Margaretha Nainggolan</w:t>
      </w:r>
      <w:r>
        <w:rPr>
          <w:b/>
          <w:sz w:val="20"/>
          <w:szCs w:val="20"/>
          <w:vertAlign w:val="superscript"/>
        </w:rPr>
        <w:t>3</w:t>
      </w:r>
      <w:r>
        <w:rPr>
          <w:b/>
          <w:sz w:val="20"/>
          <w:szCs w:val="20"/>
        </w:rPr>
        <w:t>, Rizky Jemal Safryan</w:t>
      </w:r>
      <w:r>
        <w:rPr>
          <w:b/>
          <w:sz w:val="20"/>
          <w:szCs w:val="20"/>
          <w:vertAlign w:val="superscript"/>
        </w:rPr>
        <w:t>4</w:t>
      </w:r>
    </w:p>
    <w:p w14:paraId="1F32ECF2" w14:textId="77777777" w:rsidR="002E7F0C" w:rsidRDefault="00000000">
      <w:pPr>
        <w:ind w:hanging="2"/>
        <w:jc w:val="center"/>
        <w:rPr>
          <w:sz w:val="16"/>
          <w:szCs w:val="16"/>
        </w:rPr>
      </w:pPr>
      <w:r>
        <w:rPr>
          <w:sz w:val="16"/>
          <w:szCs w:val="16"/>
          <w:vertAlign w:val="superscript"/>
        </w:rPr>
        <w:t>1</w:t>
      </w:r>
      <w:r>
        <w:rPr>
          <w:i/>
          <w:sz w:val="16"/>
          <w:szCs w:val="16"/>
        </w:rPr>
        <w:t xml:space="preserve">Teknik </w:t>
      </w:r>
      <w:proofErr w:type="spellStart"/>
      <w:r>
        <w:rPr>
          <w:i/>
          <w:sz w:val="16"/>
          <w:szCs w:val="16"/>
        </w:rPr>
        <w:t>Informatika</w:t>
      </w:r>
      <w:proofErr w:type="spellEnd"/>
      <w:r>
        <w:rPr>
          <w:i/>
          <w:sz w:val="16"/>
          <w:szCs w:val="16"/>
        </w:rPr>
        <w:t xml:space="preserve">, FTIK, Universitas </w:t>
      </w:r>
      <w:proofErr w:type="spellStart"/>
      <w:r>
        <w:rPr>
          <w:i/>
          <w:sz w:val="16"/>
          <w:szCs w:val="16"/>
        </w:rPr>
        <w:t>Indraprasta</w:t>
      </w:r>
      <w:proofErr w:type="spellEnd"/>
      <w:r>
        <w:rPr>
          <w:i/>
          <w:sz w:val="16"/>
          <w:szCs w:val="16"/>
        </w:rPr>
        <w:t xml:space="preserve"> PGRI, Jakarta, Indonesia, 12530</w:t>
      </w:r>
    </w:p>
    <w:p w14:paraId="7FB8C61E" w14:textId="77777777" w:rsidR="002E7F0C" w:rsidRDefault="00000000">
      <w:pPr>
        <w:ind w:hanging="2"/>
        <w:jc w:val="center"/>
        <w:rPr>
          <w:i/>
          <w:sz w:val="16"/>
          <w:szCs w:val="16"/>
        </w:rPr>
      </w:pPr>
      <w:r>
        <w:rPr>
          <w:sz w:val="16"/>
          <w:szCs w:val="16"/>
          <w:vertAlign w:val="superscript"/>
        </w:rPr>
        <w:t>2,3,4</w:t>
      </w:r>
      <w:r>
        <w:rPr>
          <w:i/>
          <w:sz w:val="16"/>
          <w:szCs w:val="16"/>
        </w:rPr>
        <w:t>Purwadhika Digital Technology School, Jakarta, Indonesia, 12920</w:t>
      </w:r>
    </w:p>
    <w:p w14:paraId="6E9574AA" w14:textId="77777777" w:rsidR="002E7F0C" w:rsidRDefault="00000000">
      <w:pPr>
        <w:spacing w:before="120" w:after="120"/>
        <w:ind w:hanging="2"/>
        <w:jc w:val="center"/>
        <w:rPr>
          <w:color w:val="FF0000"/>
          <w:sz w:val="16"/>
          <w:szCs w:val="16"/>
        </w:rPr>
      </w:pPr>
      <w:r>
        <w:rPr>
          <w:b/>
          <w:i/>
          <w:sz w:val="16"/>
          <w:szCs w:val="16"/>
          <w:vertAlign w:val="superscript"/>
        </w:rPr>
        <w:t>*</w:t>
      </w:r>
      <w:r>
        <w:rPr>
          <w:i/>
          <w:sz w:val="16"/>
          <w:szCs w:val="16"/>
        </w:rPr>
        <w:t>Corresponding author: andyhermawan@unindra.ac.id, adindaprilly.work@gmail.com, dianmnainggolan22@gmail.com, rizkyjemal@gmail.com</w:t>
      </w:r>
    </w:p>
    <w:tbl>
      <w:tblPr>
        <w:tblStyle w:val="a7"/>
        <w:tblW w:w="9180" w:type="dxa"/>
        <w:tblLayout w:type="fixed"/>
        <w:tblLook w:val="0000" w:firstRow="0" w:lastRow="0" w:firstColumn="0" w:lastColumn="0" w:noHBand="0" w:noVBand="0"/>
      </w:tblPr>
      <w:tblGrid>
        <w:gridCol w:w="1652"/>
        <w:gridCol w:w="7528"/>
      </w:tblGrid>
      <w:tr w:rsidR="002E7F0C" w14:paraId="333618F5" w14:textId="77777777">
        <w:trPr>
          <w:trHeight w:val="1190"/>
        </w:trPr>
        <w:tc>
          <w:tcPr>
            <w:tcW w:w="1652" w:type="dxa"/>
            <w:tcBorders>
              <w:top w:val="single" w:sz="18" w:space="0" w:color="808080"/>
            </w:tcBorders>
          </w:tcPr>
          <w:p w14:paraId="76A9A30D" w14:textId="77777777" w:rsidR="002E7F0C" w:rsidRDefault="00000000">
            <w:pPr>
              <w:spacing w:before="120" w:after="120"/>
              <w:ind w:hanging="2"/>
              <w:rPr>
                <w:sz w:val="17"/>
                <w:szCs w:val="17"/>
              </w:rPr>
            </w:pPr>
            <w:bookmarkStart w:id="0" w:name="_heading=h.1fob9te" w:colFirst="0" w:colLast="0"/>
            <w:bookmarkEnd w:id="0"/>
            <w:r>
              <w:rPr>
                <w:b/>
                <w:sz w:val="17"/>
                <w:szCs w:val="17"/>
              </w:rPr>
              <w:t>Keywords:</w:t>
            </w:r>
          </w:p>
          <w:p w14:paraId="64E12F51" w14:textId="77777777" w:rsidR="002E7F0C" w:rsidRDefault="00000000">
            <w:pPr>
              <w:ind w:hanging="2"/>
              <w:rPr>
                <w:sz w:val="17"/>
                <w:szCs w:val="17"/>
              </w:rPr>
            </w:pPr>
            <w:r>
              <w:rPr>
                <w:sz w:val="17"/>
                <w:szCs w:val="17"/>
              </w:rPr>
              <w:t xml:space="preserve">Deep Learning; Mathematical Modeling; Sentiment Analysis; Public Opinion Dynamics; Lexicon-Based Analysis; CNN; LSTM; Optimization Theory; Pertamina; “BBM </w:t>
            </w:r>
            <w:proofErr w:type="spellStart"/>
            <w:r>
              <w:rPr>
                <w:sz w:val="17"/>
                <w:szCs w:val="17"/>
              </w:rPr>
              <w:t>Oplosan</w:t>
            </w:r>
            <w:proofErr w:type="spellEnd"/>
            <w:r>
              <w:rPr>
                <w:sz w:val="17"/>
                <w:szCs w:val="17"/>
              </w:rPr>
              <w:t>”; Crisis Communication; Social Media Analytics; Indonesia.</w:t>
            </w:r>
          </w:p>
        </w:tc>
        <w:tc>
          <w:tcPr>
            <w:tcW w:w="7528" w:type="dxa"/>
            <w:vMerge w:val="restart"/>
            <w:tcBorders>
              <w:top w:val="single" w:sz="18" w:space="0" w:color="808080"/>
            </w:tcBorders>
          </w:tcPr>
          <w:p w14:paraId="2DE13189" w14:textId="77777777" w:rsidR="002E7F0C" w:rsidRDefault="00000000">
            <w:pPr>
              <w:spacing w:before="120" w:after="120"/>
              <w:ind w:right="-2" w:hanging="2"/>
              <w:jc w:val="both"/>
              <w:rPr>
                <w:sz w:val="17"/>
                <w:szCs w:val="17"/>
              </w:rPr>
            </w:pPr>
            <w:r>
              <w:rPr>
                <w:b/>
                <w:sz w:val="17"/>
                <w:szCs w:val="17"/>
              </w:rPr>
              <w:t xml:space="preserve">ABSTRACT. </w:t>
            </w:r>
            <w:r>
              <w:rPr>
                <w:sz w:val="17"/>
                <w:szCs w:val="17"/>
              </w:rPr>
              <w:t xml:space="preserve">Public sentiment dynamics provide a quantitative reflection of how societal trust and perception evolve during crises. This study implements mathematical theory through deep learning techniques to model changes in public sentiment surrounding Pertamina’s “BBM </w:t>
            </w:r>
            <w:proofErr w:type="spellStart"/>
            <w:r>
              <w:rPr>
                <w:sz w:val="17"/>
                <w:szCs w:val="17"/>
              </w:rPr>
              <w:t>Oplosan</w:t>
            </w:r>
            <w:proofErr w:type="spellEnd"/>
            <w:r>
              <w:rPr>
                <w:sz w:val="17"/>
                <w:szCs w:val="17"/>
              </w:rPr>
              <w:t>” (fuel adulteration) issue, which went viral in Indonesia in early 2025. Twitter (X) data containing the keyword “Pertamina” were collected across two temporal windows—before and after the issue’s emergence. Sentiment was classified into positive, neutral, and negative categories using both lexicon-based analysis (</w:t>
            </w:r>
            <w:proofErr w:type="spellStart"/>
            <w:r>
              <w:rPr>
                <w:sz w:val="17"/>
                <w:szCs w:val="17"/>
              </w:rPr>
              <w:t>InSet</w:t>
            </w:r>
            <w:proofErr w:type="spellEnd"/>
            <w:r>
              <w:rPr>
                <w:sz w:val="17"/>
                <w:szCs w:val="17"/>
              </w:rPr>
              <w:t xml:space="preserve"> Lexicon) and deep learning architectures including Convolutional Neural Networks (CNN), Long Short-Term Memory (LSTM), and a hybrid CNN-LSTM model. From a mathematical standpoint, deep learning serves as a functional approximation framework that minimizes loss through gradient-based optimization—an implementation of multivariable calculus and linear algebra principles. Results show that negative sentiment increased from 23.5% to 48.2%, while positive sentiment declined from 44.6% to 26.2%, indicating a significant erosion of public trust. The CNN model achieved the highest validation accuracy (~63%), though it exhibited signs of overfitting. This research demonstrates how mathematical models underlying deep learning can be effectively applied to analyze real-world social phenomena, offering a robust quantitative framework for monitoring and interpreting public opinion dynamics during corporate crises.</w:t>
            </w:r>
          </w:p>
        </w:tc>
      </w:tr>
      <w:tr w:rsidR="002E7F0C" w14:paraId="2C137A0D" w14:textId="77777777">
        <w:trPr>
          <w:trHeight w:val="337"/>
        </w:trPr>
        <w:tc>
          <w:tcPr>
            <w:tcW w:w="1652" w:type="dxa"/>
            <w:tcBorders>
              <w:bottom w:val="single" w:sz="18" w:space="0" w:color="808080"/>
            </w:tcBorders>
          </w:tcPr>
          <w:p w14:paraId="3D682DB8" w14:textId="77777777" w:rsidR="002E7F0C" w:rsidRDefault="002E7F0C">
            <w:pPr>
              <w:spacing w:after="120"/>
              <w:rPr>
                <w:color w:val="FF0000"/>
                <w:sz w:val="17"/>
                <w:szCs w:val="17"/>
              </w:rPr>
            </w:pPr>
          </w:p>
        </w:tc>
        <w:tc>
          <w:tcPr>
            <w:tcW w:w="7528" w:type="dxa"/>
            <w:vMerge/>
            <w:tcBorders>
              <w:top w:val="single" w:sz="18" w:space="0" w:color="808080"/>
            </w:tcBorders>
          </w:tcPr>
          <w:p w14:paraId="60AEC6F4" w14:textId="77777777" w:rsidR="002E7F0C" w:rsidRDefault="002E7F0C">
            <w:pPr>
              <w:widowControl w:val="0"/>
              <w:pBdr>
                <w:top w:val="nil"/>
                <w:left w:val="nil"/>
                <w:bottom w:val="nil"/>
                <w:right w:val="nil"/>
                <w:between w:val="nil"/>
              </w:pBdr>
              <w:spacing w:line="276" w:lineRule="auto"/>
              <w:rPr>
                <w:color w:val="FF0000"/>
                <w:sz w:val="17"/>
                <w:szCs w:val="17"/>
              </w:rPr>
            </w:pPr>
          </w:p>
        </w:tc>
      </w:tr>
    </w:tbl>
    <w:p w14:paraId="023DFE6C" w14:textId="77777777" w:rsidR="002E7F0C" w:rsidRDefault="002E7F0C">
      <w:pPr>
        <w:spacing w:line="276" w:lineRule="auto"/>
        <w:ind w:hanging="2"/>
        <w:jc w:val="both"/>
        <w:rPr>
          <w:color w:val="FF0000"/>
          <w:sz w:val="18"/>
          <w:szCs w:val="18"/>
        </w:rPr>
      </w:pPr>
    </w:p>
    <w:p w14:paraId="1F562378" w14:textId="77777777" w:rsidR="002E7F0C" w:rsidRDefault="00000000">
      <w:pPr>
        <w:spacing w:line="276" w:lineRule="auto"/>
        <w:ind w:hanging="2"/>
        <w:jc w:val="both"/>
        <w:rPr>
          <w:sz w:val="20"/>
          <w:szCs w:val="20"/>
        </w:rPr>
      </w:pPr>
      <w:r>
        <w:rPr>
          <w:b/>
          <w:sz w:val="20"/>
          <w:szCs w:val="20"/>
        </w:rPr>
        <w:t>INTRODUCTION</w:t>
      </w:r>
    </w:p>
    <w:p w14:paraId="469B68D8" w14:textId="77777777" w:rsidR="002E7F0C" w:rsidRDefault="00000000">
      <w:pPr>
        <w:spacing w:line="276" w:lineRule="auto"/>
        <w:ind w:firstLine="425"/>
        <w:jc w:val="both"/>
        <w:rPr>
          <w:sz w:val="20"/>
          <w:szCs w:val="20"/>
        </w:rPr>
      </w:pPr>
      <w:r>
        <w:rPr>
          <w:sz w:val="20"/>
          <w:szCs w:val="20"/>
        </w:rPr>
        <w:t>Pertamina, as a strategic state-owned enterprise, plays a crucial role in ensuring national energy security, making public trust in its quality and integrity critically important. At the end of February 2025, allegations of “Pertamina fuel blending” emerged and spread rapidly on social media, triggering a significant shift in public opinion. This situation highlights the importance of systematically monitoring public sentiment to support communication strategies and crisis mitigation.</w:t>
      </w:r>
    </w:p>
    <w:p w14:paraId="5312046E" w14:textId="77777777" w:rsidR="002E7F0C" w:rsidRDefault="00000000">
      <w:pPr>
        <w:spacing w:line="276" w:lineRule="auto"/>
        <w:ind w:firstLine="425"/>
        <w:jc w:val="both"/>
        <w:rPr>
          <w:sz w:val="20"/>
          <w:szCs w:val="20"/>
        </w:rPr>
      </w:pPr>
      <w:r>
        <w:rPr>
          <w:sz w:val="20"/>
          <w:szCs w:val="20"/>
        </w:rPr>
        <w:t>Previous studies have shown that sentiment analysis is effective in identifying shifts in public opinion, but research specifically focused on national energy crisis issues remains limited. This research gap points to the need for more targeted analysis to understand the dynamics of public opinion during crises.</w:t>
      </w:r>
    </w:p>
    <w:p w14:paraId="7540C141" w14:textId="77777777" w:rsidR="002E7F0C" w:rsidRDefault="00000000">
      <w:pPr>
        <w:spacing w:line="276" w:lineRule="auto"/>
        <w:ind w:firstLine="425"/>
        <w:jc w:val="both"/>
        <w:rPr>
          <w:sz w:val="20"/>
          <w:szCs w:val="20"/>
        </w:rPr>
      </w:pPr>
      <w:r>
        <w:rPr>
          <w:sz w:val="20"/>
          <w:szCs w:val="20"/>
        </w:rPr>
        <w:t>This study aims to measure changes in public sentiment before and after the issue surfaced, identify dominant narratives, and provide strategic recommendations for public communication and reputation management. The findings are expected to serve as a data-driven foundation for decision-making and strengthen public trust in the national energy sector.</w:t>
      </w:r>
    </w:p>
    <w:p w14:paraId="5042DDE3" w14:textId="77777777" w:rsidR="002E7F0C" w:rsidRDefault="00000000">
      <w:pPr>
        <w:spacing w:before="240" w:after="240" w:line="276" w:lineRule="auto"/>
        <w:jc w:val="both"/>
        <w:rPr>
          <w:b/>
          <w:sz w:val="20"/>
          <w:szCs w:val="20"/>
        </w:rPr>
      </w:pPr>
      <w:r>
        <w:rPr>
          <w:b/>
          <w:sz w:val="20"/>
          <w:szCs w:val="20"/>
        </w:rPr>
        <w:t xml:space="preserve">METHODS </w:t>
      </w:r>
    </w:p>
    <w:p w14:paraId="3047304C" w14:textId="77777777" w:rsidR="002E7F0C" w:rsidRDefault="00000000">
      <w:pPr>
        <w:spacing w:before="240" w:after="240" w:line="276" w:lineRule="auto"/>
        <w:jc w:val="both"/>
        <w:rPr>
          <w:sz w:val="20"/>
          <w:szCs w:val="20"/>
        </w:rPr>
      </w:pPr>
      <w:r>
        <w:rPr>
          <w:sz w:val="20"/>
          <w:szCs w:val="20"/>
        </w:rPr>
        <w:t>The methodological framework in this study integrates both theoretical and technical foundations that are commonly applied in modern sentiment analysis research. This section also incorporates the theoretical background to align with the journal template.</w:t>
      </w:r>
    </w:p>
    <w:p w14:paraId="36149D7D" w14:textId="77777777" w:rsidR="002E7F0C" w:rsidRDefault="00000000">
      <w:pPr>
        <w:spacing w:before="240" w:after="240" w:line="276" w:lineRule="auto"/>
        <w:jc w:val="both"/>
        <w:rPr>
          <w:sz w:val="20"/>
          <w:szCs w:val="20"/>
        </w:rPr>
      </w:pPr>
      <w:r>
        <w:rPr>
          <w:sz w:val="20"/>
          <w:szCs w:val="20"/>
        </w:rPr>
        <w:t>The study begins with data collection through web scraping to automatically gather large-scale public opinion data from the social media platform X (formerly Twitter), using the keyword “Pertamina.” This approach follows established text analysis methods that emphasize the importance of large and representative textual datasets [1], [5].</w:t>
      </w:r>
    </w:p>
    <w:p w14:paraId="4FEAA1FF" w14:textId="77777777" w:rsidR="002E7F0C" w:rsidRDefault="00000000">
      <w:pPr>
        <w:spacing w:before="240" w:after="240" w:line="276" w:lineRule="auto"/>
        <w:jc w:val="both"/>
        <w:rPr>
          <w:sz w:val="20"/>
          <w:szCs w:val="20"/>
        </w:rPr>
      </w:pPr>
      <w:r>
        <w:rPr>
          <w:sz w:val="20"/>
          <w:szCs w:val="20"/>
        </w:rPr>
        <w:lastRenderedPageBreak/>
        <w:t xml:space="preserve">The theoretical foundation of this research is grounded in Natural Language Processing (NLP) and text mining. Sentiment analysis has been proven effective in identifying public opinion dynamics during crises [2], [18]. The preprocessing stage plays a crucial role in standardizing the textual data. It involves character normalization, removal of special characters and URLs, case folding, slang normalization, tokenization, </w:t>
      </w:r>
      <w:proofErr w:type="spellStart"/>
      <w:r>
        <w:rPr>
          <w:sz w:val="20"/>
          <w:szCs w:val="20"/>
        </w:rPr>
        <w:t>stopword</w:t>
      </w:r>
      <w:proofErr w:type="spellEnd"/>
      <w:r>
        <w:rPr>
          <w:sz w:val="20"/>
          <w:szCs w:val="20"/>
        </w:rPr>
        <w:t xml:space="preserve"> removal, and stemming using the </w:t>
      </w:r>
      <w:proofErr w:type="spellStart"/>
      <w:r>
        <w:rPr>
          <w:sz w:val="20"/>
          <w:szCs w:val="20"/>
        </w:rPr>
        <w:t>Sastrawi</w:t>
      </w:r>
      <w:proofErr w:type="spellEnd"/>
      <w:r>
        <w:rPr>
          <w:sz w:val="20"/>
          <w:szCs w:val="20"/>
        </w:rPr>
        <w:t xml:space="preserve"> Stemmer. These steps ensure that the text corpus is clean and consistent before further analysis [1], [2].</w:t>
      </w:r>
    </w:p>
    <w:p w14:paraId="77558874" w14:textId="77777777" w:rsidR="002E7F0C" w:rsidRDefault="00000000">
      <w:pPr>
        <w:spacing w:before="240" w:after="240" w:line="276" w:lineRule="auto"/>
        <w:jc w:val="both"/>
        <w:rPr>
          <w:sz w:val="20"/>
          <w:szCs w:val="20"/>
        </w:rPr>
      </w:pPr>
      <w:r>
        <w:rPr>
          <w:sz w:val="20"/>
          <w:szCs w:val="20"/>
        </w:rPr>
        <w:t xml:space="preserve">After preprocessing, vectorization is applied to transform text into numerical representations suitable for machine learning models. Techniques such as Bag-of-Words, TF-IDF, and word embeddings (Word2Vec, </w:t>
      </w:r>
      <w:proofErr w:type="spellStart"/>
      <w:r>
        <w:rPr>
          <w:sz w:val="20"/>
          <w:szCs w:val="20"/>
        </w:rPr>
        <w:t>GloVe</w:t>
      </w:r>
      <w:proofErr w:type="spellEnd"/>
      <w:r>
        <w:rPr>
          <w:sz w:val="20"/>
          <w:szCs w:val="20"/>
        </w:rPr>
        <w:t xml:space="preserve">, </w:t>
      </w:r>
      <w:proofErr w:type="spellStart"/>
      <w:r>
        <w:rPr>
          <w:sz w:val="20"/>
          <w:szCs w:val="20"/>
        </w:rPr>
        <w:t>FastText</w:t>
      </w:r>
      <w:proofErr w:type="spellEnd"/>
      <w:r>
        <w:rPr>
          <w:sz w:val="20"/>
          <w:szCs w:val="20"/>
        </w:rPr>
        <w:t>) provide structured representations that capture semantic and syntactic information from text [6], [8], [19].</w:t>
      </w:r>
    </w:p>
    <w:p w14:paraId="2760BBA9" w14:textId="77777777" w:rsidR="002E7F0C" w:rsidRDefault="00000000">
      <w:pPr>
        <w:spacing w:before="240" w:after="240" w:line="276" w:lineRule="auto"/>
        <w:jc w:val="both"/>
        <w:rPr>
          <w:sz w:val="20"/>
          <w:szCs w:val="20"/>
        </w:rPr>
      </w:pPr>
      <w:r>
        <w:rPr>
          <w:sz w:val="20"/>
          <w:szCs w:val="20"/>
        </w:rPr>
        <w:t xml:space="preserve">Exploratory Data Analysis (EDA) is conducted to uncover patterns in the text corpus and to provide a descriptive overview of word distributions, sentiment proportions, and thematic trends. </w:t>
      </w:r>
      <w:proofErr w:type="spellStart"/>
      <w:r>
        <w:rPr>
          <w:sz w:val="20"/>
          <w:szCs w:val="20"/>
        </w:rPr>
        <w:t>WordCloud</w:t>
      </w:r>
      <w:proofErr w:type="spellEnd"/>
      <w:r>
        <w:rPr>
          <w:sz w:val="20"/>
          <w:szCs w:val="20"/>
        </w:rPr>
        <w:t xml:space="preserve"> visualization is employed to identify dominant themes and linguistic shifts in public discourse, which is particularly useful in crisis communication research [3], [16].</w:t>
      </w:r>
    </w:p>
    <w:p w14:paraId="450BFD10" w14:textId="77777777" w:rsidR="002E7F0C" w:rsidRPr="00A20787" w:rsidRDefault="00000000">
      <w:pPr>
        <w:spacing w:before="240" w:after="240" w:line="276" w:lineRule="auto"/>
        <w:jc w:val="both"/>
        <w:rPr>
          <w:sz w:val="20"/>
          <w:szCs w:val="20"/>
        </w:rPr>
      </w:pPr>
      <w:sdt>
        <w:sdtPr>
          <w:tag w:val="goog_rdk_0"/>
          <w:id w:val="-402164536"/>
        </w:sdtPr>
        <w:sdtContent>
          <w:r w:rsidRPr="00A20787">
            <w:rPr>
              <w:rFonts w:eastAsia="Gungsuh"/>
              <w:sz w:val="20"/>
              <w:szCs w:val="20"/>
            </w:rPr>
            <w:t xml:space="preserve">Sentiment classification is carried out using the </w:t>
          </w:r>
          <w:proofErr w:type="spellStart"/>
          <w:r w:rsidRPr="00A20787">
            <w:rPr>
              <w:rFonts w:eastAsia="Gungsuh"/>
              <w:sz w:val="20"/>
              <w:szCs w:val="20"/>
            </w:rPr>
            <w:t>InSet</w:t>
          </w:r>
          <w:proofErr w:type="spellEnd"/>
          <w:r w:rsidRPr="00A20787">
            <w:rPr>
              <w:rFonts w:eastAsia="Gungsuh"/>
              <w:sz w:val="20"/>
              <w:szCs w:val="20"/>
            </w:rPr>
            <w:t xml:space="preserve"> Lexicon (Indonesian Sentiment Lexicon), which includes 3,609 positive words and 6,609 negative words with sentiment scores ranging from −5 to +5. Tweets are categorized into positive, neutral, and negative sentiment classes based on their total lexicon scores.</w:t>
          </w:r>
        </w:sdtContent>
      </w:sdt>
    </w:p>
    <w:p w14:paraId="77F83144" w14:textId="77777777" w:rsidR="002E7F0C" w:rsidRDefault="00000000">
      <w:pPr>
        <w:spacing w:before="240" w:after="240" w:line="276" w:lineRule="auto"/>
        <w:jc w:val="both"/>
        <w:rPr>
          <w:sz w:val="20"/>
          <w:szCs w:val="20"/>
        </w:rPr>
      </w:pPr>
      <w:r>
        <w:rPr>
          <w:sz w:val="20"/>
          <w:szCs w:val="20"/>
        </w:rPr>
        <w:t>In addition to the lexicon-based approach, this study evaluates three deep learning architectures: Convolutional Neural Network (CNN), Long Short-Term Memory (LSTM), and CNN–LSTM hybrids [7], [10], [14], [20]. CNN is effective in extracting local features, LSTM captures long-term dependencies, and their combination provides both local and contextual feature learning. The models are trained and evaluated using accuracy, precision, recall, and F1-score metrics [4], [9], [12], [15].</w:t>
      </w:r>
    </w:p>
    <w:p w14:paraId="0786F179" w14:textId="77777777" w:rsidR="002E7F0C" w:rsidRDefault="00000000">
      <w:pPr>
        <w:spacing w:before="240" w:after="240" w:line="276" w:lineRule="auto"/>
        <w:jc w:val="both"/>
        <w:rPr>
          <w:sz w:val="20"/>
          <w:szCs w:val="20"/>
        </w:rPr>
      </w:pPr>
      <w:r>
        <w:rPr>
          <w:sz w:val="20"/>
          <w:szCs w:val="20"/>
        </w:rPr>
        <w:t>From a mathematical perspective, each deep learning model can be interpreted as a function approximation problem, where the goal is to find a mapping</w:t>
      </w:r>
    </w:p>
    <w:p w14:paraId="02BD6B88" w14:textId="5FDC5CF7" w:rsidR="00A20787" w:rsidRDefault="00000000">
      <w:pPr>
        <w:spacing w:before="240" w:after="240" w:line="276" w:lineRule="auto"/>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θ </m:t>
              </m:r>
            </m:sub>
          </m:sSub>
          <m:r>
            <w:rPr>
              <w:rFonts w:ascii="Cambria Math" w:hAnsi="Cambria Math"/>
              <w:sz w:val="20"/>
              <w:szCs w:val="20"/>
            </w:rPr>
            <m:t xml:space="preserve">: </m:t>
          </m:r>
          <m:sSup>
            <m:sSupPr>
              <m:ctrlPr>
                <w:rPr>
                  <w:rFonts w:ascii="Cambria Math" w:hAnsi="Cambria Math"/>
                  <w:i/>
                  <w:sz w:val="20"/>
                  <w:szCs w:val="20"/>
                </w:rPr>
              </m:ctrlPr>
            </m:sSupPr>
            <m:e>
              <m:r>
                <m:rPr>
                  <m:scr m:val="double-struck"/>
                </m:rPr>
                <w:rPr>
                  <w:rFonts w:ascii="Cambria Math" w:hAnsi="Cambria Math"/>
                  <w:sz w:val="20"/>
                  <w:szCs w:val="20"/>
                </w:rPr>
                <m:t>R</m:t>
              </m:r>
            </m:e>
            <m:sup>
              <m:r>
                <w:rPr>
                  <w:rFonts w:ascii="Cambria Math" w:hAnsi="Cambria Math"/>
                  <w:sz w:val="20"/>
                  <w:szCs w:val="20"/>
                </w:rPr>
                <m:t>n</m:t>
              </m:r>
            </m:sup>
          </m:sSup>
          <m:r>
            <w:rPr>
              <w:rFonts w:ascii="Cambria Math" w:hAnsi="Cambria Math"/>
              <w:sz w:val="20"/>
              <w:szCs w:val="20"/>
            </w:rPr>
            <m:t>→</m:t>
          </m:r>
          <m:sSup>
            <m:sSupPr>
              <m:ctrlPr>
                <w:rPr>
                  <w:rFonts w:ascii="Cambria Math" w:hAnsi="Cambria Math"/>
                  <w:i/>
                  <w:sz w:val="20"/>
                  <w:szCs w:val="20"/>
                </w:rPr>
              </m:ctrlPr>
            </m:sSupPr>
            <m:e>
              <m:r>
                <m:rPr>
                  <m:scr m:val="double-struck"/>
                </m:rPr>
                <w:rPr>
                  <w:rFonts w:ascii="Cambria Math" w:hAnsi="Cambria Math"/>
                  <w:sz w:val="20"/>
                  <w:szCs w:val="20"/>
                </w:rPr>
                <m:t>R</m:t>
              </m:r>
            </m:e>
            <m:sup>
              <m:r>
                <w:rPr>
                  <w:rFonts w:ascii="Cambria Math" w:hAnsi="Cambria Math"/>
                  <w:sz w:val="20"/>
                  <w:szCs w:val="20"/>
                </w:rPr>
                <m:t>k</m:t>
              </m:r>
            </m:sup>
          </m:sSup>
        </m:oMath>
      </m:oMathPara>
    </w:p>
    <w:p w14:paraId="5EB8660D" w14:textId="1E0B98C8" w:rsidR="002E7F0C" w:rsidRDefault="00000000">
      <w:pPr>
        <w:spacing w:before="240" w:after="240" w:line="276" w:lineRule="auto"/>
        <w:jc w:val="both"/>
        <w:rPr>
          <w:sz w:val="20"/>
          <w:szCs w:val="20"/>
        </w:rPr>
      </w:pPr>
      <w:r>
        <w:rPr>
          <w:sz w:val="20"/>
          <w:szCs w:val="20"/>
        </w:rPr>
        <w:t>parameterized by weights</w:t>
      </w:r>
      <w:r w:rsidR="00A20787">
        <w:rPr>
          <w:sz w:val="20"/>
          <w:szCs w:val="20"/>
        </w:rPr>
        <w:t xml:space="preserve"> </w:t>
      </w:r>
      <m:oMath>
        <m:r>
          <w:rPr>
            <w:rFonts w:ascii="Cambria Math" w:hAnsi="Cambria Math"/>
            <w:sz w:val="20"/>
            <w:szCs w:val="20"/>
          </w:rPr>
          <m:t>θ</m:t>
        </m:r>
      </m:oMath>
      <w:r>
        <w:rPr>
          <w:sz w:val="20"/>
          <w:szCs w:val="20"/>
        </w:rPr>
        <w:t>, that minimizes the loss function</w:t>
      </w:r>
    </w:p>
    <w:p w14:paraId="793136B8" w14:textId="600C40F5" w:rsidR="00A20787" w:rsidRDefault="00A20787">
      <w:pPr>
        <w:spacing w:before="240" w:after="240" w:line="276" w:lineRule="auto"/>
        <w:jc w:val="both"/>
        <w:rPr>
          <w:rFonts w:ascii="Cardo" w:eastAsia="Cardo" w:hAnsi="Cardo" w:cs="Cardo"/>
          <w:sz w:val="20"/>
          <w:szCs w:val="20"/>
        </w:rPr>
      </w:pPr>
      <m:oMathPara>
        <m:oMath>
          <m:r>
            <m:rPr>
              <m:scr m:val="script"/>
            </m:rPr>
            <w:rPr>
              <w:rFonts w:ascii="Cambria Math" w:eastAsia="Cardo" w:hAnsi="Cambria Math" w:cs="Cardo"/>
              <w:sz w:val="20"/>
              <w:szCs w:val="20"/>
            </w:rPr>
            <m:t>L</m:t>
          </m:r>
          <m:d>
            <m:dPr>
              <m:ctrlPr>
                <w:rPr>
                  <w:rFonts w:ascii="Cambria Math" w:eastAsia="Cardo" w:hAnsi="Cambria Math" w:cs="Cardo"/>
                  <w:i/>
                  <w:sz w:val="20"/>
                  <w:szCs w:val="20"/>
                </w:rPr>
              </m:ctrlPr>
            </m:dPr>
            <m:e>
              <m:r>
                <w:rPr>
                  <w:rFonts w:ascii="Cambria Math" w:eastAsia="Cardo" w:hAnsi="Cambria Math" w:cs="Cardo"/>
                  <w:sz w:val="20"/>
                  <w:szCs w:val="20"/>
                </w:rPr>
                <m:t>θ</m:t>
              </m:r>
            </m:e>
          </m:d>
          <m:r>
            <w:rPr>
              <w:rFonts w:ascii="Cambria Math" w:eastAsia="Cardo" w:hAnsi="Cambria Math" w:cs="Cardo"/>
              <w:sz w:val="20"/>
              <w:szCs w:val="20"/>
            </w:rPr>
            <m:t>=</m:t>
          </m:r>
          <m:f>
            <m:fPr>
              <m:ctrlPr>
                <w:rPr>
                  <w:rFonts w:ascii="Cambria Math" w:eastAsia="Cardo" w:hAnsi="Cambria Math" w:cs="Cardo"/>
                  <w:i/>
                  <w:sz w:val="20"/>
                  <w:szCs w:val="20"/>
                </w:rPr>
              </m:ctrlPr>
            </m:fPr>
            <m:num>
              <m:r>
                <w:rPr>
                  <w:rFonts w:ascii="Cambria Math" w:eastAsia="Cardo" w:hAnsi="Cambria Math" w:cs="Cardo"/>
                  <w:sz w:val="20"/>
                  <w:szCs w:val="20"/>
                </w:rPr>
                <m:t>1</m:t>
              </m:r>
            </m:num>
            <m:den>
              <m:r>
                <w:rPr>
                  <w:rFonts w:ascii="Cambria Math" w:eastAsia="Cardo" w:hAnsi="Cambria Math" w:cs="Cardo"/>
                  <w:sz w:val="20"/>
                  <w:szCs w:val="20"/>
                </w:rPr>
                <m:t>N</m:t>
              </m:r>
            </m:den>
          </m:f>
          <m:nary>
            <m:naryPr>
              <m:chr m:val="∑"/>
              <m:limLoc m:val="undOvr"/>
              <m:ctrlPr>
                <w:rPr>
                  <w:rFonts w:ascii="Cambria Math" w:eastAsia="Cardo" w:hAnsi="Cambria Math" w:cs="Cardo"/>
                  <w:i/>
                  <w:sz w:val="20"/>
                  <w:szCs w:val="20"/>
                </w:rPr>
              </m:ctrlPr>
            </m:naryPr>
            <m:sub>
              <m:r>
                <w:rPr>
                  <w:rFonts w:ascii="Cambria Math" w:eastAsia="Cardo" w:hAnsi="Cambria Math" w:cs="Cardo"/>
                  <w:sz w:val="20"/>
                  <w:szCs w:val="20"/>
                </w:rPr>
                <m:t>i=1</m:t>
              </m:r>
            </m:sub>
            <m:sup>
              <m:r>
                <w:rPr>
                  <w:rFonts w:ascii="Cambria Math" w:eastAsia="Cardo" w:hAnsi="Cambria Math" w:cs="Cardo"/>
                  <w:sz w:val="20"/>
                  <w:szCs w:val="20"/>
                </w:rPr>
                <m:t>N</m:t>
              </m:r>
            </m:sup>
            <m:e>
              <m:r>
                <m:rPr>
                  <m:scr m:val="script"/>
                </m:rPr>
                <w:rPr>
                  <w:rFonts w:ascii="Cambria Math" w:eastAsia="Cardo" w:hAnsi="Cambria Math" w:cs="Cardo"/>
                  <w:sz w:val="20"/>
                  <w:szCs w:val="20"/>
                </w:rPr>
                <m:t>l</m:t>
              </m:r>
              <m:d>
                <m:dPr>
                  <m:ctrlPr>
                    <w:rPr>
                      <w:rFonts w:ascii="Cambria Math" w:eastAsia="Cardo" w:hAnsi="Cambria Math" w:cs="Cardo"/>
                      <w:i/>
                      <w:sz w:val="20"/>
                      <w:szCs w:val="20"/>
                    </w:rPr>
                  </m:ctrlPr>
                </m:dPr>
                <m:e>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θ </m:t>
                      </m:r>
                    </m:sub>
                  </m:sSub>
                  <m:d>
                    <m:dPr>
                      <m:ctrlPr>
                        <w:rPr>
                          <w:rFonts w:ascii="Cambria Math" w:eastAsia="Cardo" w:hAnsi="Cambria Math" w:cs="Cardo"/>
                          <w:i/>
                          <w:sz w:val="20"/>
                          <w:szCs w:val="20"/>
                        </w:rPr>
                      </m:ctrlPr>
                    </m:dPr>
                    <m:e>
                      <m:sSub>
                        <m:sSubPr>
                          <m:ctrlPr>
                            <w:rPr>
                              <w:rFonts w:ascii="Cambria Math" w:eastAsia="Cardo" w:hAnsi="Cambria Math" w:cs="Cardo"/>
                              <w:i/>
                              <w:sz w:val="20"/>
                              <w:szCs w:val="20"/>
                            </w:rPr>
                          </m:ctrlPr>
                        </m:sSubPr>
                        <m:e>
                          <m:r>
                            <w:rPr>
                              <w:rFonts w:ascii="Cambria Math" w:eastAsia="Cardo" w:hAnsi="Cambria Math" w:cs="Cardo"/>
                              <w:sz w:val="20"/>
                              <w:szCs w:val="20"/>
                            </w:rPr>
                            <m:t>x</m:t>
                          </m:r>
                        </m:e>
                        <m:sub>
                          <m:r>
                            <w:rPr>
                              <w:rFonts w:ascii="Cambria Math" w:eastAsia="Cardo" w:hAnsi="Cambria Math" w:cs="Cardo"/>
                              <w:sz w:val="20"/>
                              <w:szCs w:val="20"/>
                            </w:rPr>
                            <m:t>i</m:t>
                          </m:r>
                        </m:sub>
                      </m:sSub>
                    </m:e>
                  </m:d>
                  <m:r>
                    <w:rPr>
                      <w:rFonts w:ascii="Cambria Math" w:eastAsia="Cardo" w:hAnsi="Cambria Math" w:cs="Cardo"/>
                      <w:sz w:val="20"/>
                      <w:szCs w:val="20"/>
                    </w:rPr>
                    <m:t>,</m:t>
                  </m:r>
                  <m:sSub>
                    <m:sSubPr>
                      <m:ctrlPr>
                        <w:rPr>
                          <w:rFonts w:ascii="Cambria Math" w:eastAsia="Cardo" w:hAnsi="Cambria Math" w:cs="Cardo"/>
                          <w:i/>
                          <w:sz w:val="20"/>
                          <w:szCs w:val="20"/>
                        </w:rPr>
                      </m:ctrlPr>
                    </m:sSubPr>
                    <m:e>
                      <m:r>
                        <w:rPr>
                          <w:rFonts w:ascii="Cambria Math" w:eastAsia="Cardo" w:hAnsi="Cambria Math" w:cs="Cardo"/>
                          <w:sz w:val="20"/>
                          <w:szCs w:val="20"/>
                        </w:rPr>
                        <m:t>y</m:t>
                      </m:r>
                    </m:e>
                    <m:sub>
                      <m:r>
                        <w:rPr>
                          <w:rFonts w:ascii="Cambria Math" w:eastAsia="Cardo" w:hAnsi="Cambria Math" w:cs="Cardo"/>
                          <w:sz w:val="20"/>
                          <w:szCs w:val="20"/>
                        </w:rPr>
                        <m:t>i</m:t>
                      </m:r>
                    </m:sub>
                  </m:sSub>
                </m:e>
              </m:d>
              <m:r>
                <w:rPr>
                  <w:rFonts w:ascii="Cambria Math" w:eastAsia="Cardo" w:hAnsi="Cambria Math" w:cs="Cardo"/>
                  <w:sz w:val="20"/>
                  <w:szCs w:val="20"/>
                </w:rPr>
                <m:t>,</m:t>
              </m:r>
            </m:e>
          </m:nary>
        </m:oMath>
      </m:oMathPara>
    </w:p>
    <w:p w14:paraId="3DB29A0E" w14:textId="29BEB948" w:rsidR="002E7F0C" w:rsidRDefault="00000000">
      <w:pPr>
        <w:spacing w:before="240" w:after="240" w:line="276" w:lineRule="auto"/>
        <w:jc w:val="both"/>
        <w:rPr>
          <w:sz w:val="20"/>
          <w:szCs w:val="20"/>
        </w:rPr>
      </w:pPr>
      <w:r>
        <w:rPr>
          <w:sz w:val="20"/>
          <w:szCs w:val="20"/>
        </w:rPr>
        <w:t xml:space="preserve">with </w:t>
      </w:r>
      <m:oMath>
        <m:r>
          <m:rPr>
            <m:scr m:val="script"/>
          </m:rPr>
          <w:rPr>
            <w:rFonts w:ascii="Cambria Math" w:hAnsi="Cambria Math"/>
            <w:sz w:val="20"/>
            <w:szCs w:val="20"/>
          </w:rPr>
          <m:t>l</m:t>
        </m:r>
      </m:oMath>
      <w:r w:rsidR="00A20787">
        <w:rPr>
          <w:sz w:val="20"/>
          <w:szCs w:val="20"/>
        </w:rPr>
        <w:t xml:space="preserve"> </w:t>
      </w:r>
      <w:r>
        <w:rPr>
          <w:sz w:val="20"/>
          <w:szCs w:val="20"/>
        </w:rPr>
        <w:t xml:space="preserve">representing the cross-entropy loss between predicted and true sentiment labels. Optimization is achieved through </w:t>
      </w:r>
      <w:r w:rsidRPr="00A20787">
        <w:rPr>
          <w:bCs/>
          <w:sz w:val="20"/>
          <w:szCs w:val="20"/>
        </w:rPr>
        <w:t>gradient descent,</w:t>
      </w:r>
      <w:r>
        <w:rPr>
          <w:sz w:val="20"/>
          <w:szCs w:val="20"/>
        </w:rPr>
        <w:t xml:space="preserve"> updating parameters according to</w:t>
      </w:r>
    </w:p>
    <w:p w14:paraId="07CCD9B1" w14:textId="573E826A" w:rsidR="002E7F0C" w:rsidRDefault="00000000">
      <w:pPr>
        <w:spacing w:before="240" w:after="240" w:line="276" w:lineRule="auto"/>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t</m:t>
              </m:r>
            </m:sub>
          </m:sSub>
          <m:r>
            <w:rPr>
              <w:rFonts w:ascii="Cambria Math" w:hAnsi="Cambria Math"/>
              <w:sz w:val="20"/>
              <w:szCs w:val="20"/>
            </w:rPr>
            <m:t>-</m:t>
          </m:r>
          <m:r>
            <m:rPr>
              <m:sty m:val="p"/>
            </m:rPr>
            <w:rPr>
              <w:rFonts w:ascii="Cambria Math" w:hAnsi="Cambria Math"/>
              <w:sz w:val="20"/>
              <w:szCs w:val="20"/>
            </w:rPr>
            <m:t>η</m:t>
          </m:r>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θ</m:t>
              </m:r>
            </m:sub>
          </m:sSub>
          <m:r>
            <m:rPr>
              <m:scr m:val="script"/>
            </m:rPr>
            <w:rPr>
              <w:rFonts w:ascii="Cambria Math" w:eastAsia="Cardo" w:hAnsi="Cambria Math" w:cs="Cardo"/>
              <w:sz w:val="20"/>
              <w:szCs w:val="20"/>
            </w:rPr>
            <m:t xml:space="preserve"> L</m:t>
          </m:r>
          <m:d>
            <m:dPr>
              <m:ctrlPr>
                <w:rPr>
                  <w:rFonts w:ascii="Cambria Math" w:eastAsia="Cardo" w:hAnsi="Cambria Math" w:cs="Cardo"/>
                  <w:i/>
                  <w:sz w:val="20"/>
                  <w:szCs w:val="20"/>
                </w:rPr>
              </m:ctrlPr>
            </m:dPr>
            <m:e>
              <m:sSub>
                <m:sSubPr>
                  <m:ctrlPr>
                    <w:rPr>
                      <w:rFonts w:ascii="Cambria Math" w:eastAsia="Cardo" w:hAnsi="Cambria Math" w:cs="Cardo"/>
                      <w:i/>
                      <w:sz w:val="20"/>
                      <w:szCs w:val="20"/>
                    </w:rPr>
                  </m:ctrlPr>
                </m:sSubPr>
                <m:e>
                  <m:r>
                    <w:rPr>
                      <w:rFonts w:ascii="Cambria Math" w:eastAsia="Cardo" w:hAnsi="Cambria Math" w:cs="Cardo"/>
                      <w:sz w:val="20"/>
                      <w:szCs w:val="20"/>
                    </w:rPr>
                    <m:t>θ</m:t>
                  </m:r>
                </m:e>
                <m:sub>
                  <m:r>
                    <w:rPr>
                      <w:rFonts w:ascii="Cambria Math" w:eastAsia="Cardo" w:hAnsi="Cambria Math" w:cs="Cardo"/>
                      <w:sz w:val="20"/>
                      <w:szCs w:val="20"/>
                    </w:rPr>
                    <m:t>t</m:t>
                  </m:r>
                </m:sub>
              </m:sSub>
            </m:e>
          </m:d>
          <m:r>
            <w:rPr>
              <w:rFonts w:ascii="Cambria Math" w:hAnsi="Cambria Math"/>
              <w:sz w:val="20"/>
              <w:szCs w:val="20"/>
            </w:rPr>
            <m:t>,</m:t>
          </m:r>
        </m:oMath>
      </m:oMathPara>
    </w:p>
    <w:p w14:paraId="58C7FD2B" w14:textId="6C392C54" w:rsidR="002E7F0C" w:rsidRDefault="00A20787">
      <w:pPr>
        <w:spacing w:before="240" w:after="240" w:line="276" w:lineRule="auto"/>
        <w:jc w:val="both"/>
        <w:rPr>
          <w:sz w:val="20"/>
          <w:szCs w:val="20"/>
        </w:rPr>
      </w:pPr>
      <w:r>
        <w:rPr>
          <w:sz w:val="20"/>
          <w:szCs w:val="20"/>
        </w:rPr>
        <w:t xml:space="preserve">Where </w:t>
      </w:r>
      <m:oMath>
        <m:r>
          <w:rPr>
            <w:rFonts w:ascii="Cambria Math" w:hAnsi="Cambria Math"/>
            <w:sz w:val="20"/>
            <w:szCs w:val="20"/>
          </w:rPr>
          <m:t>η</m:t>
        </m:r>
      </m:oMath>
      <w:r>
        <w:rPr>
          <w:sz w:val="20"/>
          <w:szCs w:val="20"/>
        </w:rPr>
        <w:t xml:space="preserve"> denotes the learning rate.</w:t>
      </w:r>
      <w:r>
        <w:rPr>
          <w:sz w:val="20"/>
          <w:szCs w:val="20"/>
        </w:rPr>
        <w:br/>
        <w:t xml:space="preserve"> The CNN applies convolution operations</w:t>
      </w:r>
    </w:p>
    <w:p w14:paraId="0B48385C" w14:textId="7F800C4A" w:rsidR="002E7F0C" w:rsidRDefault="00000000">
      <w:pPr>
        <w:spacing w:before="240" w:after="240" w:line="276" w:lineRule="auto"/>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j</m:t>
              </m:r>
            </m:sub>
          </m:sSub>
          <m:r>
            <w:rPr>
              <w:rFonts w:ascii="Cambria Math" w:hAnsi="Cambria Math"/>
              <w:sz w:val="20"/>
              <w:szCs w:val="20"/>
            </w:rPr>
            <m:t>=σ</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m:t>
                  </m:r>
                </m:sub>
              </m:sSub>
            </m:e>
          </m:d>
          <m:r>
            <w:rPr>
              <w:rFonts w:ascii="Cambria Math" w:hAnsi="Cambria Math"/>
              <w:sz w:val="20"/>
              <w:szCs w:val="20"/>
            </w:rPr>
            <m:t>,</m:t>
          </m:r>
        </m:oMath>
      </m:oMathPara>
    </w:p>
    <w:p w14:paraId="6CA6DDD0" w14:textId="77777777" w:rsidR="002E7F0C" w:rsidRDefault="00000000">
      <w:pPr>
        <w:spacing w:before="240" w:after="240" w:line="276" w:lineRule="auto"/>
        <w:jc w:val="both"/>
        <w:rPr>
          <w:sz w:val="20"/>
          <w:szCs w:val="20"/>
        </w:rPr>
      </w:pPr>
      <w:r>
        <w:rPr>
          <w:sz w:val="20"/>
          <w:szCs w:val="20"/>
        </w:rPr>
        <w:t xml:space="preserve">to extract local patterns, while the LSTM employs </w:t>
      </w:r>
      <w:r>
        <w:rPr>
          <w:b/>
          <w:sz w:val="20"/>
          <w:szCs w:val="20"/>
        </w:rPr>
        <w:t>recurrent gates</w:t>
      </w:r>
      <w:r>
        <w:rPr>
          <w:sz w:val="20"/>
          <w:szCs w:val="20"/>
        </w:rPr>
        <w:t xml:space="preserve"> that compute hidden states using</w:t>
      </w:r>
    </w:p>
    <w:p w14:paraId="58985DD6" w14:textId="142824B1" w:rsidR="002E7F0C" w:rsidRDefault="00000000" w:rsidP="00F9557C">
      <w:pPr>
        <w:spacing w:before="240" w:after="240" w:line="276" w:lineRule="auto"/>
        <w:jc w:val="center"/>
        <w:rPr>
          <w:sz w:val="20"/>
          <w:szCs w:val="20"/>
        </w:rPr>
      </w:pPr>
      <w:sdt>
        <w:sdtPr>
          <w:tag w:val="goog_rdk_5"/>
          <w:id w:val="250407335"/>
        </w:sdtPr>
        <w:sdtContent>
          <m:oMath>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h</m:t>
                    </m:r>
                  </m:sub>
                </m:sSub>
                <m:sSub>
                  <m:sSubPr>
                    <m:ctrlPr>
                      <w:rPr>
                        <w:rFonts w:ascii="Cambria Math" w:hAnsi="Cambria Math"/>
                        <w:i/>
                      </w:rPr>
                    </m:ctrlPr>
                  </m:sSubPr>
                  <m:e>
                    <m:r>
                      <w:rPr>
                        <w:rFonts w:ascii="Cambria Math" w:hAnsi="Cambria Math"/>
                      </w:rPr>
                      <m:t>h</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x</m:t>
                    </m:r>
                  </m:sub>
                </m:sSub>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+b</m:t>
                </m:r>
              </m:e>
            </m:d>
            <m:r>
              <w:rPr>
                <w:rFonts w:ascii="Cambria Math" w:hAnsi="Cambria Math"/>
              </w:rPr>
              <m:t>,</m:t>
            </m:r>
          </m:oMath>
        </w:sdtContent>
      </w:sdt>
    </w:p>
    <w:p w14:paraId="6854BC85" w14:textId="77777777" w:rsidR="002E7F0C" w:rsidRDefault="00000000">
      <w:pPr>
        <w:spacing w:before="240" w:after="240" w:line="276" w:lineRule="auto"/>
        <w:jc w:val="both"/>
        <w:rPr>
          <w:sz w:val="20"/>
          <w:szCs w:val="20"/>
        </w:rPr>
      </w:pPr>
      <w:r>
        <w:rPr>
          <w:sz w:val="20"/>
          <w:szCs w:val="20"/>
        </w:rPr>
        <w:lastRenderedPageBreak/>
        <w:t>capturing sequential dependencies in text data. These formulations represent direct implementations of linear algebra (matrix multiplications), calculus (gradient-based optimization), and functional analysis (non-linear activation functions).</w:t>
      </w:r>
    </w:p>
    <w:p w14:paraId="15D13C18" w14:textId="77777777" w:rsidR="002E7F0C" w:rsidRDefault="00000000">
      <w:pPr>
        <w:spacing w:before="240" w:after="240" w:line="276" w:lineRule="auto"/>
        <w:jc w:val="both"/>
        <w:rPr>
          <w:sz w:val="20"/>
          <w:szCs w:val="20"/>
        </w:rPr>
      </w:pPr>
      <w:r>
        <w:rPr>
          <w:sz w:val="20"/>
          <w:szCs w:val="20"/>
        </w:rPr>
        <w:t>To reduce overfitting and improve generalization, dropout regularization, early stopping, and limited epochs are applied. Despite these measures, short-text characteristics and class imbalance remained key challenges in model training.</w:t>
      </w:r>
    </w:p>
    <w:p w14:paraId="3D516001" w14:textId="6866817B" w:rsidR="002E7F0C" w:rsidRDefault="00000000">
      <w:pPr>
        <w:spacing w:before="240" w:after="240" w:line="276" w:lineRule="auto"/>
        <w:jc w:val="both"/>
        <w:rPr>
          <w:sz w:val="20"/>
          <w:szCs w:val="20"/>
        </w:rPr>
      </w:pPr>
      <w:r>
        <w:rPr>
          <w:sz w:val="20"/>
          <w:szCs w:val="20"/>
        </w:rPr>
        <w:t>By integrating mathematical theory with computational implementation, this methodology ensures a rigorous and structured approach to modeling public sentiment dynamics during a crisis event. The mathematical formulations behind deep learning emphasize that these models are not merely heuristic but are grounded in formal optimization and functional representation theory.</w:t>
      </w:r>
    </w:p>
    <w:p w14:paraId="75DCDC74" w14:textId="77777777" w:rsidR="002E7F0C" w:rsidRDefault="002E7F0C">
      <w:pPr>
        <w:spacing w:line="276" w:lineRule="auto"/>
        <w:ind w:hanging="2"/>
        <w:jc w:val="both"/>
        <w:rPr>
          <w:sz w:val="20"/>
          <w:szCs w:val="20"/>
        </w:rPr>
      </w:pPr>
    </w:p>
    <w:p w14:paraId="35024308" w14:textId="77777777" w:rsidR="002E7F0C" w:rsidRDefault="00000000">
      <w:pPr>
        <w:spacing w:before="240" w:after="240" w:line="276" w:lineRule="auto"/>
        <w:jc w:val="both"/>
        <w:rPr>
          <w:b/>
          <w:sz w:val="20"/>
          <w:szCs w:val="20"/>
        </w:rPr>
      </w:pPr>
      <w:r>
        <w:rPr>
          <w:b/>
          <w:sz w:val="20"/>
          <w:szCs w:val="20"/>
        </w:rPr>
        <w:t>RESULTS AND DISCUSSION</w:t>
      </w:r>
    </w:p>
    <w:p w14:paraId="32D24B2C" w14:textId="77777777" w:rsidR="002E7F0C" w:rsidRDefault="00000000">
      <w:pPr>
        <w:numPr>
          <w:ilvl w:val="0"/>
          <w:numId w:val="3"/>
        </w:numPr>
        <w:spacing w:before="240" w:after="240" w:line="276" w:lineRule="auto"/>
        <w:ind w:left="0" w:firstLine="0"/>
        <w:jc w:val="both"/>
        <w:rPr>
          <w:sz w:val="20"/>
          <w:szCs w:val="20"/>
        </w:rPr>
      </w:pPr>
      <w:r>
        <w:rPr>
          <w:b/>
          <w:sz w:val="20"/>
          <w:szCs w:val="20"/>
        </w:rPr>
        <w:t xml:space="preserve">Sentiment Analysis Before and After the “BBM </w:t>
      </w:r>
      <w:proofErr w:type="spellStart"/>
      <w:r>
        <w:rPr>
          <w:b/>
          <w:sz w:val="20"/>
          <w:szCs w:val="20"/>
        </w:rPr>
        <w:t>Oplosan</w:t>
      </w:r>
      <w:proofErr w:type="spellEnd"/>
      <w:r>
        <w:rPr>
          <w:b/>
          <w:sz w:val="20"/>
          <w:szCs w:val="20"/>
        </w:rPr>
        <w:t>” Issue</w:t>
      </w:r>
    </w:p>
    <w:p w14:paraId="489A927A" w14:textId="77777777" w:rsidR="002E7F0C" w:rsidRDefault="00000000">
      <w:pPr>
        <w:spacing w:before="240" w:after="240" w:line="276" w:lineRule="auto"/>
        <w:jc w:val="both"/>
        <w:rPr>
          <w:sz w:val="20"/>
          <w:szCs w:val="20"/>
        </w:rPr>
      </w:pPr>
      <w:r>
        <w:rPr>
          <w:sz w:val="20"/>
          <w:szCs w:val="20"/>
        </w:rPr>
        <w:t xml:space="preserve">This sentiment analysis was conducted to examine how public perceptions of Pertamina shifted before and after the emergence of the “BBM </w:t>
      </w:r>
      <w:proofErr w:type="spellStart"/>
      <w:r>
        <w:rPr>
          <w:sz w:val="20"/>
          <w:szCs w:val="20"/>
        </w:rPr>
        <w:t>oplosan</w:t>
      </w:r>
      <w:proofErr w:type="spellEnd"/>
      <w:r>
        <w:rPr>
          <w:sz w:val="20"/>
          <w:szCs w:val="20"/>
        </w:rPr>
        <w:t>” (fuel adulteration) issue. Sentiment was categorized into three types—positive, neutral, and negative—representing the public’s opinion trends toward the company.</w:t>
      </w:r>
    </w:p>
    <w:p w14:paraId="6CF234B3" w14:textId="77777777" w:rsidR="002E7F0C" w:rsidRDefault="00000000">
      <w:pPr>
        <w:spacing w:before="120" w:line="360" w:lineRule="auto"/>
        <w:jc w:val="center"/>
        <w:rPr>
          <w:sz w:val="20"/>
          <w:szCs w:val="20"/>
        </w:rPr>
      </w:pPr>
      <w:r>
        <w:rPr>
          <w:noProof/>
        </w:rPr>
        <w:drawing>
          <wp:inline distT="114300" distB="114300" distL="114300" distR="114300" wp14:anchorId="35A6AA6A" wp14:editId="55E4811E">
            <wp:extent cx="4973295" cy="2280523"/>
            <wp:effectExtent l="0" t="0" r="0" b="0"/>
            <wp:docPr id="116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
                    <a:srcRect/>
                    <a:stretch>
                      <a:fillRect/>
                    </a:stretch>
                  </pic:blipFill>
                  <pic:spPr>
                    <a:xfrm>
                      <a:off x="0" y="0"/>
                      <a:ext cx="4973295" cy="2280523"/>
                    </a:xfrm>
                    <a:prstGeom prst="rect">
                      <a:avLst/>
                    </a:prstGeom>
                    <a:ln/>
                  </pic:spPr>
                </pic:pic>
              </a:graphicData>
            </a:graphic>
          </wp:inline>
        </w:drawing>
      </w:r>
    </w:p>
    <w:p w14:paraId="22DCA3D3" w14:textId="77777777" w:rsidR="002E7F0C" w:rsidRDefault="00000000">
      <w:pPr>
        <w:spacing w:before="120" w:line="360" w:lineRule="auto"/>
        <w:jc w:val="center"/>
        <w:rPr>
          <w:sz w:val="20"/>
          <w:szCs w:val="20"/>
        </w:rPr>
      </w:pPr>
      <w:r>
        <w:rPr>
          <w:b/>
          <w:sz w:val="20"/>
          <w:szCs w:val="20"/>
        </w:rPr>
        <w:t>Figure 1.</w:t>
      </w:r>
      <w:r>
        <w:rPr>
          <w:sz w:val="20"/>
          <w:szCs w:val="20"/>
        </w:rPr>
        <w:t xml:space="preserve"> Sentiment Polarity Proportion Before and After the BBM </w:t>
      </w:r>
      <w:proofErr w:type="spellStart"/>
      <w:r>
        <w:rPr>
          <w:sz w:val="20"/>
          <w:szCs w:val="20"/>
        </w:rPr>
        <w:t>Oplosan</w:t>
      </w:r>
      <w:proofErr w:type="spellEnd"/>
      <w:r>
        <w:rPr>
          <w:sz w:val="20"/>
          <w:szCs w:val="20"/>
        </w:rPr>
        <w:t xml:space="preserve"> Issue</w:t>
      </w:r>
    </w:p>
    <w:p w14:paraId="0585A59B" w14:textId="77777777" w:rsidR="002E7F0C" w:rsidRDefault="00000000">
      <w:pPr>
        <w:spacing w:before="120" w:line="360" w:lineRule="auto"/>
        <w:rPr>
          <w:sz w:val="20"/>
          <w:szCs w:val="20"/>
        </w:rPr>
      </w:pPr>
      <w:r>
        <w:rPr>
          <w:sz w:val="20"/>
          <w:szCs w:val="20"/>
        </w:rPr>
        <w:t>Before the issue emerged, positive sentiment dominated at 44.6%, followed by neutral at 31.9% and negative at 23.5%. After the issue surfaced, public perception changed dramatically: negative sentiment surged to 48.2%, positive sentiment dropped sharply to 26.2%, and neutral sentiment decreased slightly to 25.6%.</w:t>
      </w:r>
    </w:p>
    <w:p w14:paraId="732ED783" w14:textId="77777777" w:rsidR="002E7F0C" w:rsidRDefault="00000000">
      <w:pPr>
        <w:spacing w:before="240" w:after="240" w:line="276" w:lineRule="auto"/>
        <w:jc w:val="both"/>
        <w:rPr>
          <w:sz w:val="20"/>
          <w:szCs w:val="20"/>
        </w:rPr>
      </w:pPr>
      <w:r>
        <w:rPr>
          <w:sz w:val="20"/>
          <w:szCs w:val="20"/>
        </w:rPr>
        <w:t>This comparison indicates a substantial shift in public opinion—from a predominance of positive sentiment to a dominance of negative sentiment. The spike in negative sentiment reflects the strong impact of the fuel adulteration issue on Pertamina’s image, signaling declining public trust and growing dissatisfaction after the scandal broke.</w:t>
      </w:r>
    </w:p>
    <w:p w14:paraId="670EC33C" w14:textId="77777777" w:rsidR="002E7F0C" w:rsidRDefault="00000000">
      <w:pPr>
        <w:spacing w:line="360" w:lineRule="auto"/>
        <w:jc w:val="center"/>
        <w:rPr>
          <w:sz w:val="20"/>
          <w:szCs w:val="20"/>
        </w:rPr>
      </w:pPr>
      <w:r>
        <w:rPr>
          <w:noProof/>
        </w:rPr>
        <w:lastRenderedPageBreak/>
        <w:drawing>
          <wp:inline distT="114300" distB="114300" distL="114300" distR="114300" wp14:anchorId="3A3A4938" wp14:editId="6917C3B5">
            <wp:extent cx="4334795" cy="2662032"/>
            <wp:effectExtent l="0" t="0" r="0" b="0"/>
            <wp:docPr id="116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
                    <a:srcRect/>
                    <a:stretch>
                      <a:fillRect/>
                    </a:stretch>
                  </pic:blipFill>
                  <pic:spPr>
                    <a:xfrm>
                      <a:off x="0" y="0"/>
                      <a:ext cx="4334795" cy="2662032"/>
                    </a:xfrm>
                    <a:prstGeom prst="rect">
                      <a:avLst/>
                    </a:prstGeom>
                    <a:ln/>
                  </pic:spPr>
                </pic:pic>
              </a:graphicData>
            </a:graphic>
          </wp:inline>
        </w:drawing>
      </w:r>
    </w:p>
    <w:p w14:paraId="3C64BE5F" w14:textId="77777777" w:rsidR="002E7F0C" w:rsidRDefault="00000000">
      <w:pPr>
        <w:spacing w:after="240" w:line="276" w:lineRule="auto"/>
        <w:jc w:val="center"/>
        <w:rPr>
          <w:sz w:val="20"/>
          <w:szCs w:val="20"/>
        </w:rPr>
      </w:pPr>
      <w:r>
        <w:rPr>
          <w:b/>
          <w:sz w:val="20"/>
          <w:szCs w:val="20"/>
        </w:rPr>
        <w:t>Figure 2.</w:t>
      </w:r>
      <w:r>
        <w:rPr>
          <w:sz w:val="20"/>
          <w:szCs w:val="20"/>
        </w:rPr>
        <w:t xml:space="preserve"> Sentiment Polarity Counts Before and After the BBM </w:t>
      </w:r>
      <w:proofErr w:type="spellStart"/>
      <w:r>
        <w:rPr>
          <w:sz w:val="20"/>
          <w:szCs w:val="20"/>
        </w:rPr>
        <w:t>Oplosan</w:t>
      </w:r>
      <w:proofErr w:type="spellEnd"/>
      <w:r>
        <w:rPr>
          <w:sz w:val="20"/>
          <w:szCs w:val="20"/>
        </w:rPr>
        <w:t xml:space="preserve"> Issue</w:t>
      </w:r>
    </w:p>
    <w:p w14:paraId="7FE819BA" w14:textId="77777777" w:rsidR="002E7F0C" w:rsidRDefault="00000000">
      <w:pPr>
        <w:spacing w:before="240" w:after="240" w:line="276" w:lineRule="auto"/>
        <w:jc w:val="both"/>
        <w:rPr>
          <w:sz w:val="20"/>
          <w:szCs w:val="20"/>
        </w:rPr>
      </w:pPr>
      <w:r>
        <w:rPr>
          <w:sz w:val="20"/>
          <w:szCs w:val="20"/>
        </w:rPr>
        <w:t>Before the issue, positive sentiment dominated with around 180 tweets, while negative sentiment was only about 90 tweets. Afterward, negative sentiment spiked to over 200 tweets, becoming the largest category compared to positive and neutral sentiment.</w:t>
      </w:r>
    </w:p>
    <w:p w14:paraId="062FDEE6" w14:textId="77777777" w:rsidR="002E7F0C" w:rsidRDefault="00000000">
      <w:pPr>
        <w:spacing w:before="240" w:after="240" w:line="276" w:lineRule="auto"/>
        <w:jc w:val="both"/>
        <w:rPr>
          <w:sz w:val="20"/>
          <w:szCs w:val="20"/>
        </w:rPr>
      </w:pPr>
      <w:r>
        <w:rPr>
          <w:sz w:val="20"/>
          <w:szCs w:val="20"/>
        </w:rPr>
        <w:t xml:space="preserve">This sharp rise in negative sentiment supports the earlier pie chart findings, where negative sentiment rose from 23.5% to 48.2%. It illustrates how the BBM </w:t>
      </w:r>
      <w:proofErr w:type="spellStart"/>
      <w:r>
        <w:rPr>
          <w:sz w:val="20"/>
          <w:szCs w:val="20"/>
        </w:rPr>
        <w:t>oplosan</w:t>
      </w:r>
      <w:proofErr w:type="spellEnd"/>
      <w:r>
        <w:rPr>
          <w:sz w:val="20"/>
          <w:szCs w:val="20"/>
        </w:rPr>
        <w:t xml:space="preserve"> issue significantly damaged Pertamina’s public image, reflected in a steep decline in positive opinions and the dominance of negative opinions.</w:t>
      </w:r>
    </w:p>
    <w:p w14:paraId="7586C770" w14:textId="77777777" w:rsidR="002E7F0C" w:rsidRDefault="00000000">
      <w:pPr>
        <w:spacing w:line="360" w:lineRule="auto"/>
        <w:jc w:val="center"/>
        <w:rPr>
          <w:sz w:val="20"/>
          <w:szCs w:val="20"/>
        </w:rPr>
      </w:pPr>
      <w:r>
        <w:rPr>
          <w:noProof/>
        </w:rPr>
        <w:drawing>
          <wp:inline distT="114300" distB="114300" distL="114300" distR="114300" wp14:anchorId="4FBBD2D7" wp14:editId="73946502">
            <wp:extent cx="5399730" cy="3314700"/>
            <wp:effectExtent l="0" t="0" r="0" b="0"/>
            <wp:docPr id="117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a:stretch>
                      <a:fillRect/>
                    </a:stretch>
                  </pic:blipFill>
                  <pic:spPr>
                    <a:xfrm>
                      <a:off x="0" y="0"/>
                      <a:ext cx="5399730" cy="3314700"/>
                    </a:xfrm>
                    <a:prstGeom prst="rect">
                      <a:avLst/>
                    </a:prstGeom>
                    <a:ln/>
                  </pic:spPr>
                </pic:pic>
              </a:graphicData>
            </a:graphic>
          </wp:inline>
        </w:drawing>
      </w:r>
    </w:p>
    <w:p w14:paraId="4E9E0222" w14:textId="77777777" w:rsidR="002E7F0C" w:rsidRDefault="00000000">
      <w:pPr>
        <w:spacing w:after="240" w:line="276" w:lineRule="auto"/>
        <w:jc w:val="center"/>
        <w:rPr>
          <w:sz w:val="20"/>
          <w:szCs w:val="20"/>
        </w:rPr>
      </w:pPr>
      <w:r>
        <w:rPr>
          <w:b/>
          <w:sz w:val="20"/>
          <w:szCs w:val="20"/>
        </w:rPr>
        <w:t xml:space="preserve">Figure 3. </w:t>
      </w:r>
      <w:r>
        <w:rPr>
          <w:sz w:val="20"/>
          <w:szCs w:val="20"/>
        </w:rPr>
        <w:t>Sentiment Polarity Score Distribution</w:t>
      </w:r>
    </w:p>
    <w:p w14:paraId="1EC4A227" w14:textId="77777777" w:rsidR="002E7F0C" w:rsidRDefault="00000000">
      <w:pPr>
        <w:spacing w:before="240" w:after="240" w:line="276" w:lineRule="auto"/>
        <w:jc w:val="both"/>
        <w:rPr>
          <w:sz w:val="20"/>
          <w:szCs w:val="20"/>
        </w:rPr>
      </w:pPr>
      <w:r>
        <w:rPr>
          <w:sz w:val="20"/>
          <w:szCs w:val="20"/>
        </w:rPr>
        <w:t>The box plot shows a clear downward shift in negative sentiment scores after the issue emerged. The post-issue negative median is lower than the pre-issue median, indicating more intense negative expressions. More outliers appear after the issue, some below -30, signaling extreme negative reactions.</w:t>
      </w:r>
    </w:p>
    <w:p w14:paraId="788D76CD" w14:textId="77777777" w:rsidR="002E7F0C" w:rsidRDefault="00000000">
      <w:pPr>
        <w:spacing w:before="240" w:after="240" w:line="276" w:lineRule="auto"/>
        <w:jc w:val="both"/>
        <w:rPr>
          <w:sz w:val="20"/>
          <w:szCs w:val="20"/>
        </w:rPr>
      </w:pPr>
      <w:r>
        <w:rPr>
          <w:sz w:val="20"/>
          <w:szCs w:val="20"/>
        </w:rPr>
        <w:lastRenderedPageBreak/>
        <w:t>For positive sentiment, the median remains relatively stable but slightly declines, meaning positive opinions persisted but weakened in intensity. Neutral sentiment shows narrow distribution with minimal variation, indicating stable neutral opinions.</w:t>
      </w:r>
    </w:p>
    <w:p w14:paraId="66137EFF" w14:textId="77777777" w:rsidR="002E7F0C" w:rsidRDefault="00000000">
      <w:pPr>
        <w:spacing w:before="240" w:after="240" w:line="276" w:lineRule="auto"/>
        <w:jc w:val="both"/>
        <w:rPr>
          <w:sz w:val="20"/>
          <w:szCs w:val="20"/>
        </w:rPr>
      </w:pPr>
      <w:r>
        <w:rPr>
          <w:sz w:val="20"/>
          <w:szCs w:val="20"/>
        </w:rPr>
        <w:t>The presence of extreme negative outliers reinforces the earlier findings: not only did negative sentiment increase, but its emotional intensity deepened, reflecting a surge of stronger public reactions after the scandal.</w:t>
      </w:r>
    </w:p>
    <w:p w14:paraId="14FBE577" w14:textId="77777777" w:rsidR="002E7F0C" w:rsidRDefault="00F9557C">
      <w:pPr>
        <w:spacing w:after="120" w:line="276" w:lineRule="auto"/>
        <w:jc w:val="both"/>
        <w:rPr>
          <w:sz w:val="20"/>
          <w:szCs w:val="20"/>
        </w:rPr>
      </w:pPr>
      <w:r>
        <w:rPr>
          <w:noProof/>
        </w:rPr>
      </w:r>
      <w:r w:rsidR="00F9557C">
        <w:rPr>
          <w:noProof/>
        </w:rPr>
        <w:pict w14:anchorId="1EF3F4F1">
          <v:rect id="_x0000_i1025" alt="" style="width:439.45pt;height:.05pt;mso-width-percent:0;mso-height-percent:0;mso-width-percent:0;mso-height-percent:0" o:hrpct="939" o:hralign="center" o:hrstd="t" o:hr="t" fillcolor="#a0a0a0" stroked="f"/>
        </w:pict>
      </w:r>
    </w:p>
    <w:p w14:paraId="1E9EBE21" w14:textId="77777777" w:rsidR="002E7F0C" w:rsidRDefault="00000000">
      <w:pPr>
        <w:numPr>
          <w:ilvl w:val="0"/>
          <w:numId w:val="3"/>
        </w:numPr>
        <w:spacing w:before="240" w:line="276" w:lineRule="auto"/>
        <w:ind w:left="360"/>
        <w:jc w:val="both"/>
        <w:rPr>
          <w:b/>
          <w:sz w:val="20"/>
          <w:szCs w:val="20"/>
        </w:rPr>
      </w:pPr>
      <w:r>
        <w:rPr>
          <w:b/>
          <w:sz w:val="20"/>
          <w:szCs w:val="20"/>
        </w:rPr>
        <w:t xml:space="preserve">Analysis of Words Before and After the Viral </w:t>
      </w:r>
      <w:proofErr w:type="spellStart"/>
      <w:r>
        <w:rPr>
          <w:b/>
          <w:sz w:val="20"/>
          <w:szCs w:val="20"/>
        </w:rPr>
        <w:t>Oplosan</w:t>
      </w:r>
      <w:proofErr w:type="spellEnd"/>
      <w:r>
        <w:rPr>
          <w:b/>
          <w:sz w:val="20"/>
          <w:szCs w:val="20"/>
        </w:rPr>
        <w:t xml:space="preserve"> </w:t>
      </w:r>
      <w:proofErr w:type="spellStart"/>
      <w:r>
        <w:rPr>
          <w:b/>
          <w:sz w:val="20"/>
          <w:szCs w:val="20"/>
        </w:rPr>
        <w:t>Pertamax</w:t>
      </w:r>
      <w:proofErr w:type="spellEnd"/>
      <w:r>
        <w:rPr>
          <w:b/>
          <w:sz w:val="20"/>
          <w:szCs w:val="20"/>
        </w:rPr>
        <w:t xml:space="preserve"> Case</w:t>
      </w:r>
    </w:p>
    <w:p w14:paraId="4AF0BECC" w14:textId="77777777" w:rsidR="002E7F0C" w:rsidRDefault="00000000">
      <w:pPr>
        <w:numPr>
          <w:ilvl w:val="0"/>
          <w:numId w:val="2"/>
        </w:numPr>
        <w:spacing w:after="240" w:line="276" w:lineRule="auto"/>
        <w:ind w:left="360"/>
        <w:jc w:val="both"/>
        <w:rPr>
          <w:b/>
          <w:i/>
          <w:sz w:val="20"/>
          <w:szCs w:val="20"/>
        </w:rPr>
      </w:pPr>
      <w:r>
        <w:rPr>
          <w:b/>
          <w:i/>
          <w:sz w:val="20"/>
          <w:szCs w:val="20"/>
        </w:rPr>
        <w:t xml:space="preserve">Unigram Frequency Analysis Before and After the </w:t>
      </w:r>
      <w:proofErr w:type="spellStart"/>
      <w:r>
        <w:rPr>
          <w:b/>
          <w:i/>
          <w:sz w:val="20"/>
          <w:szCs w:val="20"/>
        </w:rPr>
        <w:t>Pertamax</w:t>
      </w:r>
      <w:proofErr w:type="spellEnd"/>
      <w:r>
        <w:rPr>
          <w:b/>
          <w:i/>
          <w:sz w:val="20"/>
          <w:szCs w:val="20"/>
        </w:rPr>
        <w:t xml:space="preserve"> Adulteration Case Went Viral</w:t>
      </w:r>
    </w:p>
    <w:p w14:paraId="10D4648A" w14:textId="77777777" w:rsidR="002E7F0C" w:rsidRDefault="00000000">
      <w:pPr>
        <w:spacing w:before="240" w:after="240" w:line="360" w:lineRule="auto"/>
        <w:jc w:val="center"/>
        <w:rPr>
          <w:b/>
          <w:sz w:val="20"/>
          <w:szCs w:val="20"/>
        </w:rPr>
      </w:pPr>
      <w:r>
        <w:rPr>
          <w:noProof/>
        </w:rPr>
        <w:drawing>
          <wp:inline distT="114300" distB="114300" distL="114300" distR="114300" wp14:anchorId="2F72DFBC" wp14:editId="64FDF2CE">
            <wp:extent cx="5399730" cy="1943100"/>
            <wp:effectExtent l="0" t="0" r="0" b="0"/>
            <wp:docPr id="117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399730" cy="1943100"/>
                    </a:xfrm>
                    <a:prstGeom prst="rect">
                      <a:avLst/>
                    </a:prstGeom>
                    <a:ln/>
                  </pic:spPr>
                </pic:pic>
              </a:graphicData>
            </a:graphic>
          </wp:inline>
        </w:drawing>
      </w:r>
    </w:p>
    <w:p w14:paraId="3F21C019" w14:textId="77777777" w:rsidR="002E7F0C" w:rsidRDefault="00000000">
      <w:pPr>
        <w:spacing w:before="240" w:after="240" w:line="360" w:lineRule="auto"/>
        <w:jc w:val="center"/>
        <w:rPr>
          <w:sz w:val="20"/>
          <w:szCs w:val="20"/>
        </w:rPr>
      </w:pPr>
      <w:r>
        <w:rPr>
          <w:b/>
          <w:sz w:val="20"/>
          <w:szCs w:val="20"/>
        </w:rPr>
        <w:t xml:space="preserve">Figure 4. </w:t>
      </w:r>
      <w:r>
        <w:rPr>
          <w:sz w:val="20"/>
          <w:szCs w:val="20"/>
        </w:rPr>
        <w:t xml:space="preserve">Top 15 Unigram Frequency Chart Before and After the </w:t>
      </w:r>
      <w:proofErr w:type="spellStart"/>
      <w:r>
        <w:rPr>
          <w:sz w:val="20"/>
          <w:szCs w:val="20"/>
        </w:rPr>
        <w:t>Pertamax</w:t>
      </w:r>
      <w:proofErr w:type="spellEnd"/>
      <w:r>
        <w:rPr>
          <w:sz w:val="20"/>
          <w:szCs w:val="20"/>
        </w:rPr>
        <w:t xml:space="preserve"> Adulteration Case</w:t>
      </w:r>
    </w:p>
    <w:p w14:paraId="0CD3613E" w14:textId="77777777" w:rsidR="002E7F0C" w:rsidRDefault="00000000">
      <w:pPr>
        <w:spacing w:before="240" w:after="240" w:line="360" w:lineRule="auto"/>
        <w:jc w:val="both"/>
        <w:rPr>
          <w:sz w:val="20"/>
          <w:szCs w:val="20"/>
        </w:rPr>
      </w:pPr>
      <w:r>
        <w:rPr>
          <w:sz w:val="20"/>
          <w:szCs w:val="20"/>
        </w:rPr>
        <w:t xml:space="preserve"> Before the issue, dominant words such as “</w:t>
      </w:r>
      <w:proofErr w:type="spellStart"/>
      <w:r>
        <w:rPr>
          <w:sz w:val="20"/>
          <w:szCs w:val="20"/>
        </w:rPr>
        <w:t>umkm</w:t>
      </w:r>
      <w:proofErr w:type="spellEnd"/>
      <w:r>
        <w:rPr>
          <w:sz w:val="20"/>
          <w:szCs w:val="20"/>
        </w:rPr>
        <w:t>,” “</w:t>
      </w:r>
      <w:proofErr w:type="spellStart"/>
      <w:r>
        <w:rPr>
          <w:sz w:val="20"/>
          <w:szCs w:val="20"/>
        </w:rPr>
        <w:t>bbm</w:t>
      </w:r>
      <w:proofErr w:type="spellEnd"/>
      <w:r>
        <w:rPr>
          <w:sz w:val="20"/>
          <w:szCs w:val="20"/>
        </w:rPr>
        <w:t>,” “</w:t>
      </w:r>
      <w:proofErr w:type="spellStart"/>
      <w:r>
        <w:rPr>
          <w:sz w:val="20"/>
          <w:szCs w:val="20"/>
        </w:rPr>
        <w:t>bumn</w:t>
      </w:r>
      <w:proofErr w:type="spellEnd"/>
      <w:r>
        <w:rPr>
          <w:sz w:val="20"/>
          <w:szCs w:val="20"/>
        </w:rPr>
        <w:t>,” and “</w:t>
      </w:r>
      <w:proofErr w:type="spellStart"/>
      <w:r>
        <w:rPr>
          <w:sz w:val="20"/>
          <w:szCs w:val="20"/>
        </w:rPr>
        <w:t>jakarta</w:t>
      </w:r>
      <w:proofErr w:type="spellEnd"/>
      <w:r>
        <w:rPr>
          <w:sz w:val="20"/>
          <w:szCs w:val="20"/>
        </w:rPr>
        <w:t>” indicate conversations focused on corporate policy support and social contributions, particularly tied to government programs and economic activities. Words like “</w:t>
      </w:r>
      <w:proofErr w:type="spellStart"/>
      <w:r>
        <w:rPr>
          <w:sz w:val="20"/>
          <w:szCs w:val="20"/>
        </w:rPr>
        <w:t>ramadan</w:t>
      </w:r>
      <w:proofErr w:type="spellEnd"/>
      <w:r>
        <w:rPr>
          <w:sz w:val="20"/>
          <w:szCs w:val="20"/>
        </w:rPr>
        <w:t>” and “</w:t>
      </w:r>
      <w:proofErr w:type="spellStart"/>
      <w:r>
        <w:rPr>
          <w:sz w:val="20"/>
          <w:szCs w:val="20"/>
        </w:rPr>
        <w:t>aman</w:t>
      </w:r>
      <w:proofErr w:type="spellEnd"/>
      <w:r>
        <w:rPr>
          <w:sz w:val="20"/>
          <w:szCs w:val="20"/>
        </w:rPr>
        <w:t>” suggest a neutral to positive context centered on seasonal activities and fuel services.</w:t>
      </w:r>
    </w:p>
    <w:p w14:paraId="2446390E" w14:textId="77777777" w:rsidR="002E7F0C" w:rsidRDefault="00000000">
      <w:pPr>
        <w:spacing w:before="240" w:after="240" w:line="276" w:lineRule="auto"/>
        <w:jc w:val="both"/>
        <w:rPr>
          <w:sz w:val="20"/>
          <w:szCs w:val="20"/>
        </w:rPr>
      </w:pPr>
      <w:r>
        <w:rPr>
          <w:sz w:val="20"/>
          <w:szCs w:val="20"/>
        </w:rPr>
        <w:t>After the issue went viral, dominant words shifted dramatically to “</w:t>
      </w:r>
      <w:proofErr w:type="spellStart"/>
      <w:r>
        <w:rPr>
          <w:sz w:val="20"/>
          <w:szCs w:val="20"/>
        </w:rPr>
        <w:t>korupsi</w:t>
      </w:r>
      <w:proofErr w:type="spellEnd"/>
      <w:r>
        <w:rPr>
          <w:sz w:val="20"/>
          <w:szCs w:val="20"/>
        </w:rPr>
        <w:t>,” “</w:t>
      </w:r>
      <w:proofErr w:type="spellStart"/>
      <w:r>
        <w:rPr>
          <w:sz w:val="20"/>
          <w:szCs w:val="20"/>
        </w:rPr>
        <w:t>harga</w:t>
      </w:r>
      <w:proofErr w:type="spellEnd"/>
      <w:r>
        <w:rPr>
          <w:sz w:val="20"/>
          <w:szCs w:val="20"/>
        </w:rPr>
        <w:t>,” “</w:t>
      </w:r>
      <w:proofErr w:type="spellStart"/>
      <w:r>
        <w:rPr>
          <w:sz w:val="20"/>
          <w:szCs w:val="20"/>
        </w:rPr>
        <w:t>turun</w:t>
      </w:r>
      <w:proofErr w:type="spellEnd"/>
      <w:r>
        <w:rPr>
          <w:sz w:val="20"/>
          <w:szCs w:val="20"/>
        </w:rPr>
        <w:t>,” and “rakyat,” indicating rising public criticism regarding trust, transparency, and fuel pricing. Words like “</w:t>
      </w:r>
      <w:proofErr w:type="spellStart"/>
      <w:r>
        <w:rPr>
          <w:sz w:val="20"/>
          <w:szCs w:val="20"/>
        </w:rPr>
        <w:t>pertamax</w:t>
      </w:r>
      <w:proofErr w:type="spellEnd"/>
      <w:r>
        <w:rPr>
          <w:sz w:val="20"/>
          <w:szCs w:val="20"/>
        </w:rPr>
        <w:t>” and “gak” further reveal increased negative perceptions and skepticism. Some neutral words like “mudik,” “</w:t>
      </w:r>
      <w:proofErr w:type="spellStart"/>
      <w:r>
        <w:rPr>
          <w:sz w:val="20"/>
          <w:szCs w:val="20"/>
        </w:rPr>
        <w:t>lebaran</w:t>
      </w:r>
      <w:proofErr w:type="spellEnd"/>
      <w:r>
        <w:rPr>
          <w:sz w:val="20"/>
          <w:szCs w:val="20"/>
        </w:rPr>
        <w:t>,” and “</w:t>
      </w:r>
      <w:proofErr w:type="spellStart"/>
      <w:r>
        <w:rPr>
          <w:sz w:val="20"/>
          <w:szCs w:val="20"/>
        </w:rPr>
        <w:t>nyaman</w:t>
      </w:r>
      <w:proofErr w:type="spellEnd"/>
      <w:r>
        <w:rPr>
          <w:sz w:val="20"/>
          <w:szCs w:val="20"/>
        </w:rPr>
        <w:t>” remained, showing ongoing functional or informational discussions, especially around holiday fuel availability.</w:t>
      </w:r>
    </w:p>
    <w:p w14:paraId="35078409" w14:textId="77777777" w:rsidR="002E7F0C" w:rsidRDefault="00000000">
      <w:pPr>
        <w:spacing w:before="240" w:after="240" w:line="276" w:lineRule="auto"/>
        <w:jc w:val="both"/>
        <w:rPr>
          <w:sz w:val="20"/>
          <w:szCs w:val="20"/>
        </w:rPr>
      </w:pPr>
      <w:r>
        <w:rPr>
          <w:sz w:val="20"/>
          <w:szCs w:val="20"/>
        </w:rPr>
        <w:t>Overall, unigram analysis reveals a discursive shift from institutional and supportive topics to criticism and public dissatisfaction, aligning with the sentiment analysis results showing increased negative sentiment after the issue.</w:t>
      </w:r>
    </w:p>
    <w:p w14:paraId="7C611EB7" w14:textId="77777777" w:rsidR="002E7F0C" w:rsidRDefault="00F9557C">
      <w:pPr>
        <w:spacing w:after="120" w:line="276" w:lineRule="auto"/>
        <w:ind w:firstLine="425"/>
        <w:jc w:val="both"/>
        <w:rPr>
          <w:sz w:val="20"/>
          <w:szCs w:val="20"/>
        </w:rPr>
      </w:pPr>
      <w:r>
        <w:rPr>
          <w:noProof/>
        </w:rPr>
      </w:r>
      <w:r w:rsidR="00F9557C">
        <w:rPr>
          <w:noProof/>
        </w:rPr>
        <w:pict w14:anchorId="7D58BBEC">
          <v:rect id="_x0000_i1026" alt="" style="width:439.45pt;height:.05pt;mso-width-percent:0;mso-height-percent:0;mso-width-percent:0;mso-height-percent:0" o:hrpct="939" o:hralign="center" o:hrstd="t" o:hr="t" fillcolor="#a0a0a0" stroked="f"/>
        </w:pict>
      </w:r>
    </w:p>
    <w:p w14:paraId="34E43D54" w14:textId="77777777" w:rsidR="002E7F0C" w:rsidRDefault="00000000">
      <w:pPr>
        <w:numPr>
          <w:ilvl w:val="0"/>
          <w:numId w:val="2"/>
        </w:numPr>
        <w:spacing w:before="240" w:after="240" w:line="276" w:lineRule="auto"/>
        <w:ind w:left="360"/>
        <w:jc w:val="both"/>
        <w:rPr>
          <w:b/>
          <w:sz w:val="20"/>
          <w:szCs w:val="20"/>
        </w:rPr>
      </w:pPr>
      <w:r>
        <w:rPr>
          <w:b/>
          <w:sz w:val="20"/>
          <w:szCs w:val="20"/>
        </w:rPr>
        <w:t xml:space="preserve">Bigram Frequency Analysis Before and After the </w:t>
      </w:r>
      <w:proofErr w:type="spellStart"/>
      <w:r>
        <w:rPr>
          <w:b/>
          <w:sz w:val="20"/>
          <w:szCs w:val="20"/>
        </w:rPr>
        <w:t>Pertamax</w:t>
      </w:r>
      <w:proofErr w:type="spellEnd"/>
      <w:r>
        <w:rPr>
          <w:b/>
          <w:sz w:val="20"/>
          <w:szCs w:val="20"/>
        </w:rPr>
        <w:t xml:space="preserve"> Adulteration Case Went Viral</w:t>
      </w:r>
    </w:p>
    <w:p w14:paraId="33119A1B" w14:textId="77777777" w:rsidR="002E7F0C" w:rsidRDefault="00000000">
      <w:pPr>
        <w:spacing w:line="360" w:lineRule="auto"/>
        <w:jc w:val="center"/>
        <w:rPr>
          <w:b/>
          <w:sz w:val="20"/>
          <w:szCs w:val="20"/>
        </w:rPr>
      </w:pPr>
      <w:r>
        <w:rPr>
          <w:b/>
          <w:noProof/>
        </w:rPr>
        <w:lastRenderedPageBreak/>
        <w:drawing>
          <wp:inline distT="114300" distB="114300" distL="114300" distR="114300" wp14:anchorId="1B4A64F0" wp14:editId="100F052F">
            <wp:extent cx="5399730" cy="1930400"/>
            <wp:effectExtent l="0" t="0" r="0" b="0"/>
            <wp:docPr id="117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
                    <a:srcRect/>
                    <a:stretch>
                      <a:fillRect/>
                    </a:stretch>
                  </pic:blipFill>
                  <pic:spPr>
                    <a:xfrm>
                      <a:off x="0" y="0"/>
                      <a:ext cx="5399730" cy="1930400"/>
                    </a:xfrm>
                    <a:prstGeom prst="rect">
                      <a:avLst/>
                    </a:prstGeom>
                    <a:ln/>
                  </pic:spPr>
                </pic:pic>
              </a:graphicData>
            </a:graphic>
          </wp:inline>
        </w:drawing>
      </w:r>
    </w:p>
    <w:p w14:paraId="4551C870" w14:textId="77777777" w:rsidR="002E7F0C" w:rsidRDefault="00000000">
      <w:pPr>
        <w:spacing w:line="276" w:lineRule="auto"/>
        <w:jc w:val="center"/>
        <w:rPr>
          <w:sz w:val="20"/>
          <w:szCs w:val="20"/>
        </w:rPr>
      </w:pPr>
      <w:r>
        <w:rPr>
          <w:b/>
          <w:sz w:val="20"/>
          <w:szCs w:val="20"/>
        </w:rPr>
        <w:t xml:space="preserve">Figure 5. </w:t>
      </w:r>
      <w:r>
        <w:rPr>
          <w:sz w:val="20"/>
          <w:szCs w:val="20"/>
        </w:rPr>
        <w:t xml:space="preserve">Top 15 Bigram Frequency Chart Before and After the </w:t>
      </w:r>
      <w:proofErr w:type="spellStart"/>
      <w:r>
        <w:rPr>
          <w:sz w:val="20"/>
          <w:szCs w:val="20"/>
        </w:rPr>
        <w:t>Pertamax</w:t>
      </w:r>
      <w:proofErr w:type="spellEnd"/>
      <w:r>
        <w:rPr>
          <w:sz w:val="20"/>
          <w:szCs w:val="20"/>
        </w:rPr>
        <w:t xml:space="preserve"> Adulteration Case</w:t>
      </w:r>
    </w:p>
    <w:p w14:paraId="6D83473A" w14:textId="77777777" w:rsidR="002E7F0C" w:rsidRDefault="00000000">
      <w:pPr>
        <w:spacing w:before="240" w:after="240" w:line="276" w:lineRule="auto"/>
        <w:jc w:val="both"/>
        <w:rPr>
          <w:sz w:val="20"/>
          <w:szCs w:val="20"/>
        </w:rPr>
      </w:pPr>
      <w:r>
        <w:rPr>
          <w:b/>
          <w:sz w:val="20"/>
          <w:szCs w:val="20"/>
        </w:rPr>
        <w:br/>
      </w:r>
      <w:r>
        <w:rPr>
          <w:sz w:val="20"/>
          <w:szCs w:val="20"/>
        </w:rPr>
        <w:t xml:space="preserve"> Before the issue, bigrams like “</w:t>
      </w:r>
      <w:proofErr w:type="spellStart"/>
      <w:r>
        <w:rPr>
          <w:sz w:val="20"/>
          <w:szCs w:val="20"/>
        </w:rPr>
        <w:t>rawan</w:t>
      </w:r>
      <w:proofErr w:type="spellEnd"/>
      <w:r>
        <w:rPr>
          <w:sz w:val="20"/>
          <w:szCs w:val="20"/>
        </w:rPr>
        <w:t xml:space="preserve"> </w:t>
      </w:r>
      <w:proofErr w:type="spellStart"/>
      <w:r>
        <w:rPr>
          <w:sz w:val="20"/>
          <w:szCs w:val="20"/>
        </w:rPr>
        <w:t>bumn</w:t>
      </w:r>
      <w:proofErr w:type="spellEnd"/>
      <w:r>
        <w:rPr>
          <w:sz w:val="20"/>
          <w:szCs w:val="20"/>
        </w:rPr>
        <w:t>,” “</w:t>
      </w:r>
      <w:proofErr w:type="spellStart"/>
      <w:r>
        <w:rPr>
          <w:sz w:val="20"/>
          <w:szCs w:val="20"/>
        </w:rPr>
        <w:t>pertamina</w:t>
      </w:r>
      <w:proofErr w:type="spellEnd"/>
      <w:r>
        <w:rPr>
          <w:sz w:val="20"/>
          <w:szCs w:val="20"/>
        </w:rPr>
        <w:t xml:space="preserve"> enduro,” “</w:t>
      </w:r>
      <w:proofErr w:type="spellStart"/>
      <w:r>
        <w:rPr>
          <w:sz w:val="20"/>
          <w:szCs w:val="20"/>
        </w:rPr>
        <w:t>pertamina</w:t>
      </w:r>
      <w:proofErr w:type="spellEnd"/>
      <w:r>
        <w:rPr>
          <w:sz w:val="20"/>
          <w:szCs w:val="20"/>
        </w:rPr>
        <w:t xml:space="preserve"> </w:t>
      </w:r>
      <w:proofErr w:type="spellStart"/>
      <w:r>
        <w:rPr>
          <w:sz w:val="20"/>
          <w:szCs w:val="20"/>
        </w:rPr>
        <w:t>bumn</w:t>
      </w:r>
      <w:proofErr w:type="spellEnd"/>
      <w:r>
        <w:rPr>
          <w:sz w:val="20"/>
          <w:szCs w:val="20"/>
        </w:rPr>
        <w:t>,” and “</w:t>
      </w:r>
      <w:proofErr w:type="spellStart"/>
      <w:r>
        <w:rPr>
          <w:sz w:val="20"/>
          <w:szCs w:val="20"/>
        </w:rPr>
        <w:t>bmh</w:t>
      </w:r>
      <w:proofErr w:type="spellEnd"/>
      <w:r>
        <w:rPr>
          <w:sz w:val="20"/>
          <w:szCs w:val="20"/>
        </w:rPr>
        <w:t xml:space="preserve"> </w:t>
      </w:r>
      <w:proofErr w:type="spellStart"/>
      <w:r>
        <w:rPr>
          <w:sz w:val="20"/>
          <w:szCs w:val="20"/>
        </w:rPr>
        <w:t>lpg</w:t>
      </w:r>
      <w:proofErr w:type="spellEnd"/>
      <w:r>
        <w:rPr>
          <w:sz w:val="20"/>
          <w:szCs w:val="20"/>
        </w:rPr>
        <w:t>” reflect diverse, mostly positive or neutral conversations—covering product promotions, corporate activities, and social responsibility programs.</w:t>
      </w:r>
    </w:p>
    <w:p w14:paraId="60507467" w14:textId="77777777" w:rsidR="002E7F0C" w:rsidRDefault="00000000">
      <w:pPr>
        <w:spacing w:before="240" w:after="240" w:line="276" w:lineRule="auto"/>
        <w:jc w:val="both"/>
        <w:rPr>
          <w:sz w:val="20"/>
          <w:szCs w:val="20"/>
        </w:rPr>
      </w:pPr>
      <w:r>
        <w:rPr>
          <w:sz w:val="20"/>
          <w:szCs w:val="20"/>
        </w:rPr>
        <w:t>After the issue, dominant bigrams shifted clearly toward negative and critical narratives: “</w:t>
      </w:r>
      <w:proofErr w:type="spellStart"/>
      <w:r>
        <w:rPr>
          <w:sz w:val="20"/>
          <w:szCs w:val="20"/>
        </w:rPr>
        <w:t>korupsi</w:t>
      </w:r>
      <w:proofErr w:type="spellEnd"/>
      <w:r>
        <w:rPr>
          <w:sz w:val="20"/>
          <w:szCs w:val="20"/>
        </w:rPr>
        <w:t xml:space="preserve"> </w:t>
      </w:r>
      <w:proofErr w:type="spellStart"/>
      <w:r>
        <w:rPr>
          <w:sz w:val="20"/>
          <w:szCs w:val="20"/>
        </w:rPr>
        <w:t>pertamina</w:t>
      </w:r>
      <w:proofErr w:type="spellEnd"/>
      <w:r>
        <w:rPr>
          <w:sz w:val="20"/>
          <w:szCs w:val="20"/>
        </w:rPr>
        <w:t>,” “</w:t>
      </w:r>
      <w:proofErr w:type="spellStart"/>
      <w:r>
        <w:rPr>
          <w:sz w:val="20"/>
          <w:szCs w:val="20"/>
        </w:rPr>
        <w:t>harga</w:t>
      </w:r>
      <w:proofErr w:type="spellEnd"/>
      <w:r>
        <w:rPr>
          <w:sz w:val="20"/>
          <w:szCs w:val="20"/>
        </w:rPr>
        <w:t xml:space="preserve"> </w:t>
      </w:r>
      <w:proofErr w:type="spellStart"/>
      <w:r>
        <w:rPr>
          <w:sz w:val="20"/>
          <w:szCs w:val="20"/>
        </w:rPr>
        <w:t>bbm</w:t>
      </w:r>
      <w:proofErr w:type="spellEnd"/>
      <w:r>
        <w:rPr>
          <w:sz w:val="20"/>
          <w:szCs w:val="20"/>
        </w:rPr>
        <w:t>,” and “</w:t>
      </w:r>
      <w:proofErr w:type="spellStart"/>
      <w:r>
        <w:rPr>
          <w:sz w:val="20"/>
          <w:szCs w:val="20"/>
        </w:rPr>
        <w:t>turun</w:t>
      </w:r>
      <w:proofErr w:type="spellEnd"/>
      <w:r>
        <w:rPr>
          <w:sz w:val="20"/>
          <w:szCs w:val="20"/>
        </w:rPr>
        <w:t xml:space="preserve"> </w:t>
      </w:r>
      <w:proofErr w:type="spellStart"/>
      <w:r>
        <w:rPr>
          <w:sz w:val="20"/>
          <w:szCs w:val="20"/>
        </w:rPr>
        <w:t>harga</w:t>
      </w:r>
      <w:proofErr w:type="spellEnd"/>
      <w:r>
        <w:rPr>
          <w:sz w:val="20"/>
          <w:szCs w:val="20"/>
        </w:rPr>
        <w:t>” reveal more emotionally charged discourse. Phrases like “</w:t>
      </w:r>
      <w:proofErr w:type="spellStart"/>
      <w:r>
        <w:rPr>
          <w:sz w:val="20"/>
          <w:szCs w:val="20"/>
        </w:rPr>
        <w:t>pertamina</w:t>
      </w:r>
      <w:proofErr w:type="spellEnd"/>
      <w:r>
        <w:rPr>
          <w:sz w:val="20"/>
          <w:szCs w:val="20"/>
        </w:rPr>
        <w:t xml:space="preserve"> </w:t>
      </w:r>
      <w:proofErr w:type="spellStart"/>
      <w:r>
        <w:rPr>
          <w:sz w:val="20"/>
          <w:szCs w:val="20"/>
        </w:rPr>
        <w:t>turun</w:t>
      </w:r>
      <w:proofErr w:type="spellEnd"/>
      <w:r>
        <w:rPr>
          <w:sz w:val="20"/>
          <w:szCs w:val="20"/>
        </w:rPr>
        <w:t xml:space="preserve">” and “pt </w:t>
      </w:r>
      <w:proofErr w:type="spellStart"/>
      <w:r>
        <w:rPr>
          <w:sz w:val="20"/>
          <w:szCs w:val="20"/>
        </w:rPr>
        <w:t>pertamina</w:t>
      </w:r>
      <w:proofErr w:type="spellEnd"/>
      <w:r>
        <w:rPr>
          <w:sz w:val="20"/>
          <w:szCs w:val="20"/>
        </w:rPr>
        <w:t xml:space="preserve">” show how the corporate name became central to criticism. Some neutral bigrams such as “mudik </w:t>
      </w:r>
      <w:proofErr w:type="spellStart"/>
      <w:r>
        <w:rPr>
          <w:sz w:val="20"/>
          <w:szCs w:val="20"/>
        </w:rPr>
        <w:t>nyaman</w:t>
      </w:r>
      <w:proofErr w:type="spellEnd"/>
      <w:r>
        <w:rPr>
          <w:sz w:val="20"/>
          <w:szCs w:val="20"/>
        </w:rPr>
        <w:t>” and “</w:t>
      </w:r>
      <w:proofErr w:type="spellStart"/>
      <w:r>
        <w:rPr>
          <w:sz w:val="20"/>
          <w:szCs w:val="20"/>
        </w:rPr>
        <w:t>fasilitas</w:t>
      </w:r>
      <w:proofErr w:type="spellEnd"/>
      <w:r>
        <w:rPr>
          <w:sz w:val="20"/>
          <w:szCs w:val="20"/>
        </w:rPr>
        <w:t xml:space="preserve"> </w:t>
      </w:r>
      <w:proofErr w:type="spellStart"/>
      <w:r>
        <w:rPr>
          <w:sz w:val="20"/>
          <w:szCs w:val="20"/>
        </w:rPr>
        <w:t>lengkap</w:t>
      </w:r>
      <w:proofErr w:type="spellEnd"/>
      <w:r>
        <w:rPr>
          <w:sz w:val="20"/>
          <w:szCs w:val="20"/>
        </w:rPr>
        <w:t>” persisted, indicating residual neutral or positive conversations about operational services.</w:t>
      </w:r>
    </w:p>
    <w:p w14:paraId="098E88AF" w14:textId="77777777" w:rsidR="002E7F0C" w:rsidRDefault="00000000">
      <w:pPr>
        <w:spacing w:before="240" w:after="240" w:line="276" w:lineRule="auto"/>
        <w:jc w:val="both"/>
        <w:rPr>
          <w:sz w:val="20"/>
          <w:szCs w:val="20"/>
        </w:rPr>
      </w:pPr>
      <w:r>
        <w:rPr>
          <w:sz w:val="20"/>
          <w:szCs w:val="20"/>
        </w:rPr>
        <w:t>This bigram analysis confirms the unigram findings, showing a clear thematic shift from corporate and social narratives to issues of pricing and trust.</w:t>
      </w:r>
    </w:p>
    <w:p w14:paraId="3C1E5F51" w14:textId="77777777" w:rsidR="002E7F0C" w:rsidRDefault="00F9557C">
      <w:pPr>
        <w:spacing w:after="120" w:line="276" w:lineRule="auto"/>
        <w:ind w:firstLine="425"/>
        <w:jc w:val="both"/>
        <w:rPr>
          <w:sz w:val="20"/>
          <w:szCs w:val="20"/>
        </w:rPr>
      </w:pPr>
      <w:r>
        <w:rPr>
          <w:noProof/>
        </w:rPr>
      </w:r>
      <w:r w:rsidR="00F9557C">
        <w:rPr>
          <w:noProof/>
        </w:rPr>
        <w:pict w14:anchorId="2B46A62E">
          <v:rect id="_x0000_i1027" alt="" style="width:439.45pt;height:.05pt;mso-width-percent:0;mso-height-percent:0;mso-width-percent:0;mso-height-percent:0" o:hrpct="939" o:hralign="center" o:hrstd="t" o:hr="t" fillcolor="#a0a0a0" stroked="f"/>
        </w:pict>
      </w:r>
    </w:p>
    <w:p w14:paraId="743B73AD" w14:textId="77777777" w:rsidR="002E7F0C" w:rsidRDefault="00000000">
      <w:pPr>
        <w:numPr>
          <w:ilvl w:val="0"/>
          <w:numId w:val="2"/>
        </w:numPr>
        <w:spacing w:before="240" w:after="240" w:line="276" w:lineRule="auto"/>
        <w:ind w:left="360"/>
        <w:jc w:val="both"/>
        <w:rPr>
          <w:b/>
          <w:sz w:val="20"/>
          <w:szCs w:val="20"/>
        </w:rPr>
      </w:pPr>
      <w:proofErr w:type="spellStart"/>
      <w:r>
        <w:rPr>
          <w:b/>
          <w:sz w:val="20"/>
          <w:szCs w:val="20"/>
        </w:rPr>
        <w:t>WordCloud</w:t>
      </w:r>
      <w:proofErr w:type="spellEnd"/>
      <w:r>
        <w:rPr>
          <w:b/>
          <w:sz w:val="20"/>
          <w:szCs w:val="20"/>
        </w:rPr>
        <w:t xml:space="preserve"> Analysis of Negative Sentiment Before and After the </w:t>
      </w:r>
      <w:proofErr w:type="spellStart"/>
      <w:r>
        <w:rPr>
          <w:b/>
          <w:sz w:val="20"/>
          <w:szCs w:val="20"/>
        </w:rPr>
        <w:t>Pertamax</w:t>
      </w:r>
      <w:proofErr w:type="spellEnd"/>
      <w:r>
        <w:rPr>
          <w:b/>
          <w:sz w:val="20"/>
          <w:szCs w:val="20"/>
        </w:rPr>
        <w:t xml:space="preserve"> Adulteration Case Went Viral</w:t>
      </w:r>
    </w:p>
    <w:p w14:paraId="27D1981A" w14:textId="77777777" w:rsidR="002E7F0C" w:rsidRDefault="00000000">
      <w:pPr>
        <w:spacing w:line="360" w:lineRule="auto"/>
        <w:jc w:val="center"/>
        <w:rPr>
          <w:b/>
          <w:sz w:val="20"/>
          <w:szCs w:val="20"/>
        </w:rPr>
      </w:pPr>
      <w:r>
        <w:rPr>
          <w:b/>
          <w:noProof/>
        </w:rPr>
        <w:drawing>
          <wp:inline distT="114300" distB="114300" distL="114300" distR="114300" wp14:anchorId="5A7A468F" wp14:editId="1FF1CE97">
            <wp:extent cx="5399730" cy="1879600"/>
            <wp:effectExtent l="0" t="0" r="0" b="0"/>
            <wp:docPr id="117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3"/>
                    <a:srcRect/>
                    <a:stretch>
                      <a:fillRect/>
                    </a:stretch>
                  </pic:blipFill>
                  <pic:spPr>
                    <a:xfrm>
                      <a:off x="0" y="0"/>
                      <a:ext cx="5399730" cy="1879600"/>
                    </a:xfrm>
                    <a:prstGeom prst="rect">
                      <a:avLst/>
                    </a:prstGeom>
                    <a:ln/>
                  </pic:spPr>
                </pic:pic>
              </a:graphicData>
            </a:graphic>
          </wp:inline>
        </w:drawing>
      </w:r>
    </w:p>
    <w:p w14:paraId="2EC4F8A2" w14:textId="77777777" w:rsidR="002E7F0C" w:rsidRDefault="00000000">
      <w:pPr>
        <w:spacing w:line="276" w:lineRule="auto"/>
        <w:jc w:val="center"/>
        <w:rPr>
          <w:sz w:val="20"/>
          <w:szCs w:val="20"/>
        </w:rPr>
      </w:pPr>
      <w:r>
        <w:rPr>
          <w:b/>
          <w:sz w:val="20"/>
          <w:szCs w:val="20"/>
        </w:rPr>
        <w:t xml:space="preserve">Figure 6. </w:t>
      </w:r>
      <w:proofErr w:type="spellStart"/>
      <w:r>
        <w:rPr>
          <w:sz w:val="20"/>
          <w:szCs w:val="20"/>
        </w:rPr>
        <w:t>WordCloud</w:t>
      </w:r>
      <w:proofErr w:type="spellEnd"/>
      <w:r>
        <w:rPr>
          <w:sz w:val="20"/>
          <w:szCs w:val="20"/>
        </w:rPr>
        <w:t xml:space="preserve"> of Negative Sentiment Toward Pertamina Before and After the </w:t>
      </w:r>
      <w:proofErr w:type="spellStart"/>
      <w:r>
        <w:rPr>
          <w:sz w:val="20"/>
          <w:szCs w:val="20"/>
        </w:rPr>
        <w:t>Pertamax</w:t>
      </w:r>
      <w:proofErr w:type="spellEnd"/>
      <w:r>
        <w:rPr>
          <w:sz w:val="20"/>
          <w:szCs w:val="20"/>
        </w:rPr>
        <w:t xml:space="preserve"> Adulteration Case</w:t>
      </w:r>
    </w:p>
    <w:p w14:paraId="55833ADD" w14:textId="77777777" w:rsidR="002E7F0C" w:rsidRDefault="00000000">
      <w:pPr>
        <w:spacing w:before="240" w:after="240" w:line="276" w:lineRule="auto"/>
        <w:jc w:val="both"/>
        <w:rPr>
          <w:sz w:val="20"/>
          <w:szCs w:val="20"/>
        </w:rPr>
      </w:pPr>
      <w:r>
        <w:rPr>
          <w:b/>
          <w:sz w:val="20"/>
          <w:szCs w:val="20"/>
        </w:rPr>
        <w:br/>
      </w:r>
      <w:r>
        <w:rPr>
          <w:sz w:val="20"/>
          <w:szCs w:val="20"/>
        </w:rPr>
        <w:t xml:space="preserve"> Before the issue, negative sentiment was weak and mostly associated with corporate activities like promotions or social programs. Words like “</w:t>
      </w:r>
      <w:proofErr w:type="spellStart"/>
      <w:r>
        <w:rPr>
          <w:sz w:val="20"/>
          <w:szCs w:val="20"/>
        </w:rPr>
        <w:t>dukung</w:t>
      </w:r>
      <w:proofErr w:type="spellEnd"/>
      <w:r>
        <w:rPr>
          <w:sz w:val="20"/>
          <w:szCs w:val="20"/>
        </w:rPr>
        <w:t>,” “</w:t>
      </w:r>
      <w:proofErr w:type="spellStart"/>
      <w:r>
        <w:rPr>
          <w:sz w:val="20"/>
          <w:szCs w:val="20"/>
        </w:rPr>
        <w:t>umkm</w:t>
      </w:r>
      <w:proofErr w:type="spellEnd"/>
      <w:r>
        <w:rPr>
          <w:sz w:val="20"/>
          <w:szCs w:val="20"/>
        </w:rPr>
        <w:t>,” “</w:t>
      </w:r>
      <w:proofErr w:type="spellStart"/>
      <w:r>
        <w:rPr>
          <w:sz w:val="20"/>
          <w:szCs w:val="20"/>
        </w:rPr>
        <w:t>bbm</w:t>
      </w:r>
      <w:proofErr w:type="spellEnd"/>
      <w:r>
        <w:rPr>
          <w:sz w:val="20"/>
          <w:szCs w:val="20"/>
        </w:rPr>
        <w:t>,” and “</w:t>
      </w:r>
      <w:proofErr w:type="spellStart"/>
      <w:r>
        <w:rPr>
          <w:sz w:val="20"/>
          <w:szCs w:val="20"/>
        </w:rPr>
        <w:t>lpg</w:t>
      </w:r>
      <w:proofErr w:type="spellEnd"/>
      <w:r>
        <w:rPr>
          <w:sz w:val="20"/>
          <w:szCs w:val="20"/>
        </w:rPr>
        <w:t>” dominated.</w:t>
      </w:r>
    </w:p>
    <w:p w14:paraId="26760C39" w14:textId="77777777" w:rsidR="002E7F0C" w:rsidRDefault="00000000">
      <w:pPr>
        <w:spacing w:before="240" w:after="240" w:line="276" w:lineRule="auto"/>
        <w:jc w:val="both"/>
        <w:rPr>
          <w:sz w:val="20"/>
          <w:szCs w:val="20"/>
        </w:rPr>
      </w:pPr>
      <w:r>
        <w:rPr>
          <w:sz w:val="20"/>
          <w:szCs w:val="20"/>
        </w:rPr>
        <w:lastRenderedPageBreak/>
        <w:t>After the issue, negative word frequency and character changed drastically. Words like “</w:t>
      </w:r>
      <w:proofErr w:type="spellStart"/>
      <w:r>
        <w:rPr>
          <w:sz w:val="20"/>
          <w:szCs w:val="20"/>
        </w:rPr>
        <w:t>harga</w:t>
      </w:r>
      <w:proofErr w:type="spellEnd"/>
      <w:r>
        <w:rPr>
          <w:sz w:val="20"/>
          <w:szCs w:val="20"/>
        </w:rPr>
        <w:t>,” “</w:t>
      </w:r>
      <w:proofErr w:type="spellStart"/>
      <w:r>
        <w:rPr>
          <w:sz w:val="20"/>
          <w:szCs w:val="20"/>
        </w:rPr>
        <w:t>bbm</w:t>
      </w:r>
      <w:proofErr w:type="spellEnd"/>
      <w:r>
        <w:rPr>
          <w:sz w:val="20"/>
          <w:szCs w:val="20"/>
        </w:rPr>
        <w:t>,” “</w:t>
      </w:r>
      <w:proofErr w:type="spellStart"/>
      <w:r>
        <w:rPr>
          <w:sz w:val="20"/>
          <w:szCs w:val="20"/>
        </w:rPr>
        <w:t>pertamax</w:t>
      </w:r>
      <w:proofErr w:type="spellEnd"/>
      <w:r>
        <w:rPr>
          <w:sz w:val="20"/>
          <w:szCs w:val="20"/>
        </w:rPr>
        <w:t>,” “</w:t>
      </w:r>
      <w:proofErr w:type="spellStart"/>
      <w:r>
        <w:rPr>
          <w:sz w:val="20"/>
          <w:szCs w:val="20"/>
        </w:rPr>
        <w:t>nonsubsidi</w:t>
      </w:r>
      <w:proofErr w:type="spellEnd"/>
      <w:r>
        <w:rPr>
          <w:sz w:val="20"/>
          <w:szCs w:val="20"/>
        </w:rPr>
        <w:t>,” “</w:t>
      </w:r>
      <w:proofErr w:type="spellStart"/>
      <w:r>
        <w:rPr>
          <w:sz w:val="20"/>
          <w:szCs w:val="20"/>
        </w:rPr>
        <w:t>turun</w:t>
      </w:r>
      <w:proofErr w:type="spellEnd"/>
      <w:r>
        <w:rPr>
          <w:sz w:val="20"/>
          <w:szCs w:val="20"/>
        </w:rPr>
        <w:t>,” and “</w:t>
      </w:r>
      <w:proofErr w:type="spellStart"/>
      <w:r>
        <w:rPr>
          <w:sz w:val="20"/>
          <w:szCs w:val="20"/>
        </w:rPr>
        <w:t>oplos</w:t>
      </w:r>
      <w:proofErr w:type="spellEnd"/>
      <w:r>
        <w:rPr>
          <w:sz w:val="20"/>
          <w:szCs w:val="20"/>
        </w:rPr>
        <w:t>” became dominant, along with “rakyat,” “</w:t>
      </w:r>
      <w:proofErr w:type="spellStart"/>
      <w:r>
        <w:rPr>
          <w:sz w:val="20"/>
          <w:szCs w:val="20"/>
        </w:rPr>
        <w:t>korupsi</w:t>
      </w:r>
      <w:proofErr w:type="spellEnd"/>
      <w:r>
        <w:rPr>
          <w:sz w:val="20"/>
          <w:szCs w:val="20"/>
        </w:rPr>
        <w:t>,” and “</w:t>
      </w:r>
      <w:proofErr w:type="spellStart"/>
      <w:r>
        <w:rPr>
          <w:sz w:val="20"/>
          <w:szCs w:val="20"/>
        </w:rPr>
        <w:t>subsidi</w:t>
      </w:r>
      <w:proofErr w:type="spellEnd"/>
      <w:r>
        <w:rPr>
          <w:sz w:val="20"/>
          <w:szCs w:val="20"/>
        </w:rPr>
        <w:t>,” showing a shift toward structural distrust and moral outrage.</w:t>
      </w:r>
    </w:p>
    <w:p w14:paraId="19BFBBAE" w14:textId="77777777" w:rsidR="002E7F0C" w:rsidRDefault="00000000">
      <w:pPr>
        <w:spacing w:before="240" w:after="240" w:line="276" w:lineRule="auto"/>
        <w:jc w:val="both"/>
        <w:rPr>
          <w:sz w:val="20"/>
          <w:szCs w:val="20"/>
        </w:rPr>
      </w:pPr>
      <w:r>
        <w:rPr>
          <w:sz w:val="20"/>
          <w:szCs w:val="20"/>
        </w:rPr>
        <w:t xml:space="preserve">The </w:t>
      </w:r>
      <w:proofErr w:type="spellStart"/>
      <w:r>
        <w:rPr>
          <w:sz w:val="20"/>
          <w:szCs w:val="20"/>
        </w:rPr>
        <w:t>WordCloud</w:t>
      </w:r>
      <w:proofErr w:type="spellEnd"/>
      <w:r>
        <w:rPr>
          <w:sz w:val="20"/>
          <w:szCs w:val="20"/>
        </w:rPr>
        <w:t xml:space="preserve"> confirms the CNN, LSTM, and CNN-LSTM sentiment analysis results: negative sentiment not only increased in volume but also deepened in emotional and thematic intensity.</w:t>
      </w:r>
    </w:p>
    <w:p w14:paraId="6B8FB4EF" w14:textId="77777777" w:rsidR="002E7F0C" w:rsidRDefault="00F9557C">
      <w:pPr>
        <w:spacing w:after="120" w:line="276" w:lineRule="auto"/>
        <w:ind w:firstLine="425"/>
        <w:jc w:val="both"/>
        <w:rPr>
          <w:sz w:val="20"/>
          <w:szCs w:val="20"/>
        </w:rPr>
      </w:pPr>
      <w:r>
        <w:rPr>
          <w:noProof/>
        </w:rPr>
      </w:r>
      <w:r w:rsidR="00F9557C">
        <w:rPr>
          <w:noProof/>
        </w:rPr>
        <w:pict w14:anchorId="1A8F4D40">
          <v:rect id="_x0000_i1028" alt="" style="width:439.45pt;height:.05pt;mso-width-percent:0;mso-height-percent:0;mso-width-percent:0;mso-height-percent:0" o:hrpct="939" o:hralign="center" o:hrstd="t" o:hr="t" fillcolor="#a0a0a0" stroked="f"/>
        </w:pict>
      </w:r>
    </w:p>
    <w:p w14:paraId="031D33E8" w14:textId="77777777" w:rsidR="002E7F0C" w:rsidRDefault="00000000">
      <w:pPr>
        <w:spacing w:before="240" w:after="240" w:line="276" w:lineRule="auto"/>
        <w:jc w:val="both"/>
        <w:rPr>
          <w:b/>
          <w:sz w:val="20"/>
          <w:szCs w:val="20"/>
        </w:rPr>
      </w:pPr>
      <w:r>
        <w:rPr>
          <w:b/>
          <w:sz w:val="20"/>
          <w:szCs w:val="20"/>
        </w:rPr>
        <w:t>3. Sentiment Model Analysis</w:t>
      </w:r>
    </w:p>
    <w:p w14:paraId="125D0128" w14:textId="77777777" w:rsidR="002E7F0C" w:rsidRDefault="00000000">
      <w:pPr>
        <w:numPr>
          <w:ilvl w:val="0"/>
          <w:numId w:val="1"/>
        </w:numPr>
        <w:spacing w:before="240" w:after="240" w:line="276" w:lineRule="auto"/>
        <w:jc w:val="both"/>
        <w:rPr>
          <w:b/>
          <w:sz w:val="20"/>
          <w:szCs w:val="20"/>
        </w:rPr>
      </w:pPr>
      <w:r>
        <w:rPr>
          <w:b/>
          <w:sz w:val="20"/>
          <w:szCs w:val="20"/>
        </w:rPr>
        <w:t>CNN Model</w:t>
      </w:r>
    </w:p>
    <w:p w14:paraId="15022604" w14:textId="77777777" w:rsidR="002E7F0C" w:rsidRDefault="00000000">
      <w:pPr>
        <w:spacing w:line="360" w:lineRule="auto"/>
        <w:ind w:left="360"/>
        <w:jc w:val="center"/>
        <w:rPr>
          <w:b/>
          <w:sz w:val="20"/>
          <w:szCs w:val="20"/>
        </w:rPr>
      </w:pPr>
      <w:r>
        <w:rPr>
          <w:b/>
          <w:noProof/>
          <w:sz w:val="26"/>
          <w:szCs w:val="26"/>
        </w:rPr>
        <w:drawing>
          <wp:inline distT="114300" distB="114300" distL="114300" distR="114300" wp14:anchorId="5D154BA9" wp14:editId="150475C1">
            <wp:extent cx="4985011" cy="1617711"/>
            <wp:effectExtent l="0" t="0" r="0" b="0"/>
            <wp:docPr id="11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985011" cy="1617711"/>
                    </a:xfrm>
                    <a:prstGeom prst="rect">
                      <a:avLst/>
                    </a:prstGeom>
                    <a:ln/>
                  </pic:spPr>
                </pic:pic>
              </a:graphicData>
            </a:graphic>
          </wp:inline>
        </w:drawing>
      </w:r>
    </w:p>
    <w:p w14:paraId="0E7920B4" w14:textId="77777777" w:rsidR="002E7F0C" w:rsidRDefault="00000000">
      <w:pPr>
        <w:spacing w:after="240" w:line="276" w:lineRule="auto"/>
        <w:jc w:val="center"/>
        <w:rPr>
          <w:sz w:val="20"/>
          <w:szCs w:val="20"/>
        </w:rPr>
      </w:pPr>
      <w:r>
        <w:rPr>
          <w:b/>
          <w:sz w:val="20"/>
          <w:szCs w:val="20"/>
        </w:rPr>
        <w:t xml:space="preserve">Figure 7. </w:t>
      </w:r>
      <w:r>
        <w:rPr>
          <w:sz w:val="20"/>
          <w:szCs w:val="20"/>
        </w:rPr>
        <w:t>CNN Model Training and Validation Accuracy and Loss</w:t>
      </w:r>
    </w:p>
    <w:p w14:paraId="57E8442C" w14:textId="77777777" w:rsidR="002E7F0C" w:rsidRDefault="00000000">
      <w:pPr>
        <w:spacing w:before="240" w:after="240" w:line="276" w:lineRule="auto"/>
        <w:jc w:val="both"/>
        <w:rPr>
          <w:sz w:val="20"/>
          <w:szCs w:val="20"/>
        </w:rPr>
      </w:pPr>
      <w:r>
        <w:rPr>
          <w:sz w:val="20"/>
          <w:szCs w:val="20"/>
        </w:rPr>
        <w:t>Training accuracy rose quickly to near 100%, while validation accuracy plateaued around 63%. Training loss dropped sharply, but validation loss stagnated early, indicating overfitting.</w:t>
      </w:r>
    </w:p>
    <w:p w14:paraId="048C4153" w14:textId="77777777" w:rsidR="002E7F0C" w:rsidRDefault="00000000">
      <w:pPr>
        <w:spacing w:line="276" w:lineRule="auto"/>
        <w:jc w:val="center"/>
      </w:pPr>
      <w:r>
        <w:rPr>
          <w:b/>
          <w:sz w:val="20"/>
          <w:szCs w:val="20"/>
        </w:rPr>
        <w:t xml:space="preserve">Table 1. </w:t>
      </w:r>
      <w:r>
        <w:rPr>
          <w:sz w:val="20"/>
          <w:szCs w:val="20"/>
        </w:rPr>
        <w:t>CNN Confusion Matrix</w:t>
      </w:r>
    </w:p>
    <w:sdt>
      <w:sdtPr>
        <w:tag w:val="goog_rdk_31"/>
        <w:id w:val="-1547088386"/>
        <w:lock w:val="contentLocked"/>
      </w:sdtPr>
      <w:sdtContent>
        <w:tbl>
          <w:tblPr>
            <w:tblStyle w:val="a8"/>
            <w:tblW w:w="6300" w:type="dxa"/>
            <w:jc w:val="center"/>
            <w:tblBorders>
              <w:top w:val="nil"/>
              <w:left w:val="nil"/>
              <w:bottom w:val="nil"/>
              <w:right w:val="nil"/>
              <w:insideH w:val="nil"/>
              <w:insideV w:val="nil"/>
            </w:tblBorders>
            <w:tblLayout w:type="fixed"/>
            <w:tblLook w:val="0600" w:firstRow="0" w:lastRow="0" w:firstColumn="0" w:lastColumn="0" w:noHBand="1" w:noVBand="1"/>
          </w:tblPr>
          <w:tblGrid>
            <w:gridCol w:w="900"/>
            <w:gridCol w:w="900"/>
            <w:gridCol w:w="1500"/>
            <w:gridCol w:w="1500"/>
            <w:gridCol w:w="1500"/>
          </w:tblGrid>
          <w:tr w:rsidR="002E7F0C" w14:paraId="399CA28A" w14:textId="77777777">
            <w:trPr>
              <w:trHeight w:val="315"/>
              <w:jc w:val="center"/>
            </w:trPr>
            <w:sdt>
              <w:sdtPr>
                <w:tag w:val="goog_rdk_6"/>
                <w:id w:val="1576758350"/>
                <w:lock w:val="contentLocked"/>
              </w:sdtPr>
              <w:sdtContent>
                <w:tc>
                  <w:tcPr>
                    <w:tcW w:w="9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13B2D1DD" w14:textId="77777777" w:rsidR="002E7F0C" w:rsidRDefault="002E7F0C">
                    <w:pPr>
                      <w:widowControl w:val="0"/>
                      <w:spacing w:line="276" w:lineRule="auto"/>
                      <w:rPr>
                        <w:rFonts w:ascii="Arial" w:eastAsia="Arial" w:hAnsi="Arial" w:cs="Arial"/>
                        <w:sz w:val="20"/>
                        <w:szCs w:val="20"/>
                      </w:rPr>
                    </w:pPr>
                  </w:p>
                </w:tc>
              </w:sdtContent>
            </w:sdt>
            <w:sdt>
              <w:sdtPr>
                <w:tag w:val="goog_rdk_7"/>
                <w:id w:val="388155348"/>
                <w:lock w:val="contentLocked"/>
              </w:sdtPr>
              <w:sdtContent>
                <w:tc>
                  <w:tcPr>
                    <w:tcW w:w="900" w:type="dxa"/>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4E29D46A"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Pred</w:t>
                    </w:r>
                  </w:p>
                </w:tc>
              </w:sdtContent>
            </w:sdt>
            <w:sdt>
              <w:sdtPr>
                <w:tag w:val="goog_rdk_8"/>
                <w:id w:val="-1218754378"/>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35C6CB23"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Negative</w:t>
                    </w:r>
                  </w:p>
                </w:tc>
              </w:sdtContent>
            </w:sdt>
            <w:sdt>
              <w:sdtPr>
                <w:tag w:val="goog_rdk_9"/>
                <w:id w:val="-720480252"/>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266BD562"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Neutral</w:t>
                    </w:r>
                  </w:p>
                </w:tc>
              </w:sdtContent>
            </w:sdt>
            <w:sdt>
              <w:sdtPr>
                <w:tag w:val="goog_rdk_10"/>
                <w:id w:val="1504386988"/>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11E5D803"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Positive</w:t>
                    </w:r>
                  </w:p>
                </w:tc>
              </w:sdtContent>
            </w:sdt>
          </w:tr>
          <w:tr w:rsidR="002E7F0C" w14:paraId="75951C97" w14:textId="77777777">
            <w:trPr>
              <w:trHeight w:val="315"/>
              <w:jc w:val="center"/>
            </w:trPr>
            <w:sdt>
              <w:sdtPr>
                <w:tag w:val="goog_rdk_11"/>
                <w:id w:val="-1289927737"/>
                <w:lock w:val="contentLocked"/>
              </w:sdtPr>
              <w:sdtContent>
                <w:tc>
                  <w:tcPr>
                    <w:tcW w:w="900" w:type="dxa"/>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49144B7E"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Actual</w:t>
                    </w:r>
                  </w:p>
                </w:tc>
              </w:sdtContent>
            </w:sdt>
            <w:sdt>
              <w:sdtPr>
                <w:tag w:val="goog_rdk_12"/>
                <w:id w:val="1474677949"/>
                <w:lock w:val="contentLocked"/>
              </w:sdtPr>
              <w:sdtContent>
                <w:tc>
                  <w:tcPr>
                    <w:tcW w:w="9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AA105EE" w14:textId="77777777" w:rsidR="002E7F0C" w:rsidRDefault="002E7F0C">
                    <w:pPr>
                      <w:widowControl w:val="0"/>
                      <w:spacing w:line="276" w:lineRule="auto"/>
                      <w:rPr>
                        <w:rFonts w:ascii="Arial" w:eastAsia="Arial" w:hAnsi="Arial" w:cs="Arial"/>
                        <w:sz w:val="20"/>
                        <w:szCs w:val="20"/>
                      </w:rPr>
                    </w:pPr>
                  </w:p>
                </w:tc>
              </w:sdtContent>
            </w:sdt>
            <w:sdt>
              <w:sdtPr>
                <w:tag w:val="goog_rdk_13"/>
                <w:id w:val="1514635947"/>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7E6D372D" w14:textId="77777777" w:rsidR="002E7F0C" w:rsidRDefault="002E7F0C">
                    <w:pPr>
                      <w:widowControl w:val="0"/>
                      <w:spacing w:line="276" w:lineRule="auto"/>
                      <w:rPr>
                        <w:rFonts w:ascii="Arial" w:eastAsia="Arial" w:hAnsi="Arial" w:cs="Arial"/>
                        <w:sz w:val="20"/>
                        <w:szCs w:val="20"/>
                      </w:rPr>
                    </w:pPr>
                  </w:p>
                </w:tc>
              </w:sdtContent>
            </w:sdt>
            <w:sdt>
              <w:sdtPr>
                <w:tag w:val="goog_rdk_14"/>
                <w:id w:val="-50732846"/>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3EEAB0A2" w14:textId="77777777" w:rsidR="002E7F0C" w:rsidRDefault="002E7F0C">
                    <w:pPr>
                      <w:widowControl w:val="0"/>
                      <w:spacing w:line="276" w:lineRule="auto"/>
                      <w:rPr>
                        <w:rFonts w:ascii="Arial" w:eastAsia="Arial" w:hAnsi="Arial" w:cs="Arial"/>
                        <w:sz w:val="20"/>
                        <w:szCs w:val="20"/>
                      </w:rPr>
                    </w:pPr>
                  </w:p>
                </w:tc>
              </w:sdtContent>
            </w:sdt>
            <w:sdt>
              <w:sdtPr>
                <w:tag w:val="goog_rdk_15"/>
                <w:id w:val="1821859122"/>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4C871749" w14:textId="77777777" w:rsidR="002E7F0C" w:rsidRDefault="002E7F0C">
                    <w:pPr>
                      <w:widowControl w:val="0"/>
                      <w:spacing w:line="276" w:lineRule="auto"/>
                      <w:rPr>
                        <w:rFonts w:ascii="Arial" w:eastAsia="Arial" w:hAnsi="Arial" w:cs="Arial"/>
                        <w:sz w:val="20"/>
                        <w:szCs w:val="20"/>
                      </w:rPr>
                    </w:pPr>
                  </w:p>
                </w:tc>
              </w:sdtContent>
            </w:sdt>
          </w:tr>
          <w:tr w:rsidR="002E7F0C" w14:paraId="5B3D4137" w14:textId="77777777">
            <w:trPr>
              <w:trHeight w:val="315"/>
              <w:jc w:val="center"/>
            </w:trPr>
            <w:sdt>
              <w:sdtPr>
                <w:tag w:val="goog_rdk_16"/>
                <w:id w:val="155530634"/>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7476BB39"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Negative</w:t>
                    </w:r>
                  </w:p>
                </w:tc>
              </w:sdtContent>
            </w:sdt>
            <w:sdt>
              <w:sdtPr>
                <w:tag w:val="goog_rdk_18"/>
                <w:id w:val="-1313806581"/>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F968FB"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40</w:t>
                    </w:r>
                  </w:p>
                </w:tc>
              </w:sdtContent>
            </w:sdt>
            <w:sdt>
              <w:sdtPr>
                <w:tag w:val="goog_rdk_19"/>
                <w:id w:val="-1340656570"/>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03D0E9F"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21</w:t>
                    </w:r>
                  </w:p>
                </w:tc>
              </w:sdtContent>
            </w:sdt>
            <w:sdt>
              <w:sdtPr>
                <w:tag w:val="goog_rdk_20"/>
                <w:id w:val="-1979755219"/>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166AE66"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4</w:t>
                    </w:r>
                  </w:p>
                </w:tc>
              </w:sdtContent>
            </w:sdt>
          </w:tr>
          <w:tr w:rsidR="002E7F0C" w14:paraId="0D79A58C" w14:textId="77777777">
            <w:trPr>
              <w:trHeight w:val="315"/>
              <w:jc w:val="center"/>
            </w:trPr>
            <w:sdt>
              <w:sdtPr>
                <w:tag w:val="goog_rdk_21"/>
                <w:id w:val="-1143898372"/>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57FBC3BB"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Neutral</w:t>
                    </w:r>
                  </w:p>
                </w:tc>
              </w:sdtContent>
            </w:sdt>
            <w:sdt>
              <w:sdtPr>
                <w:tag w:val="goog_rdk_23"/>
                <w:id w:val="-1067950630"/>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090BFB0"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12</w:t>
                    </w:r>
                  </w:p>
                </w:tc>
              </w:sdtContent>
            </w:sdt>
            <w:sdt>
              <w:sdtPr>
                <w:tag w:val="goog_rdk_24"/>
                <w:id w:val="-1769073483"/>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C16AC35"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36</w:t>
                    </w:r>
                  </w:p>
                </w:tc>
              </w:sdtContent>
            </w:sdt>
            <w:sdt>
              <w:sdtPr>
                <w:tag w:val="goog_rdk_25"/>
                <w:id w:val="-49802166"/>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CD97567"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2</w:t>
                    </w:r>
                  </w:p>
                </w:tc>
              </w:sdtContent>
            </w:sdt>
          </w:tr>
          <w:tr w:rsidR="002E7F0C" w14:paraId="6EC49BF3" w14:textId="77777777">
            <w:trPr>
              <w:trHeight w:val="315"/>
              <w:jc w:val="center"/>
            </w:trPr>
            <w:sdt>
              <w:sdtPr>
                <w:tag w:val="goog_rdk_26"/>
                <w:id w:val="1893255160"/>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0ED09705"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Positive</w:t>
                    </w:r>
                  </w:p>
                </w:tc>
              </w:sdtContent>
            </w:sdt>
            <w:sdt>
              <w:sdtPr>
                <w:tag w:val="goog_rdk_28"/>
                <w:id w:val="68927986"/>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33E6644"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10</w:t>
                    </w:r>
                  </w:p>
                </w:tc>
              </w:sdtContent>
            </w:sdt>
            <w:sdt>
              <w:sdtPr>
                <w:tag w:val="goog_rdk_29"/>
                <w:id w:val="-22904171"/>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E63B89"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16</w:t>
                    </w:r>
                  </w:p>
                </w:tc>
              </w:sdtContent>
            </w:sdt>
            <w:sdt>
              <w:sdtPr>
                <w:tag w:val="goog_rdk_30"/>
                <w:id w:val="1991491295"/>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86C1C7"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35</w:t>
                    </w:r>
                  </w:p>
                </w:tc>
              </w:sdtContent>
            </w:sdt>
          </w:tr>
        </w:tbl>
      </w:sdtContent>
    </w:sdt>
    <w:p w14:paraId="079F9D03" w14:textId="77777777" w:rsidR="002E7F0C" w:rsidRDefault="002E7F0C">
      <w:pPr>
        <w:jc w:val="center"/>
        <w:rPr>
          <w:sz w:val="20"/>
          <w:szCs w:val="20"/>
        </w:rPr>
      </w:pPr>
    </w:p>
    <w:p w14:paraId="11572694" w14:textId="77777777" w:rsidR="002E7F0C" w:rsidRDefault="00000000">
      <w:pPr>
        <w:spacing w:before="240" w:after="240" w:line="276" w:lineRule="auto"/>
        <w:jc w:val="both"/>
        <w:rPr>
          <w:sz w:val="20"/>
          <w:szCs w:val="20"/>
        </w:rPr>
      </w:pPr>
      <w:r>
        <w:rPr>
          <w:sz w:val="20"/>
          <w:szCs w:val="20"/>
        </w:rPr>
        <w:t>The classification report shows high precision but low recall for positive sentiment, high recall but low precision for neutral, and moderate performance for negative. The main errors occur between neutral and positive. Overfitting likely results from class imbalance or insufficient regularization. Stronger dropout and early stopping could help.</w:t>
      </w:r>
    </w:p>
    <w:p w14:paraId="576FAEDE" w14:textId="77777777" w:rsidR="002E7F0C" w:rsidRDefault="00F9557C">
      <w:pPr>
        <w:spacing w:after="120" w:line="276" w:lineRule="auto"/>
        <w:ind w:firstLine="425"/>
        <w:jc w:val="both"/>
        <w:rPr>
          <w:sz w:val="20"/>
          <w:szCs w:val="20"/>
        </w:rPr>
      </w:pPr>
      <w:r>
        <w:rPr>
          <w:noProof/>
        </w:rPr>
      </w:r>
      <w:r w:rsidR="00F9557C">
        <w:rPr>
          <w:noProof/>
        </w:rPr>
        <w:pict w14:anchorId="67261B0B">
          <v:rect id="_x0000_i1029" alt="" style="width:439.45pt;height:.05pt;mso-width-percent:0;mso-height-percent:0;mso-width-percent:0;mso-height-percent:0" o:hrpct="939" o:hralign="center" o:hrstd="t" o:hr="t" fillcolor="#a0a0a0" stroked="f"/>
        </w:pict>
      </w:r>
    </w:p>
    <w:p w14:paraId="72944FD7" w14:textId="77777777" w:rsidR="002E7F0C" w:rsidRDefault="00000000">
      <w:pPr>
        <w:numPr>
          <w:ilvl w:val="0"/>
          <w:numId w:val="1"/>
        </w:numPr>
        <w:spacing w:before="240" w:after="240" w:line="276" w:lineRule="auto"/>
        <w:jc w:val="both"/>
        <w:rPr>
          <w:b/>
          <w:sz w:val="20"/>
          <w:szCs w:val="20"/>
        </w:rPr>
      </w:pPr>
      <w:r>
        <w:rPr>
          <w:b/>
          <w:sz w:val="20"/>
          <w:szCs w:val="20"/>
        </w:rPr>
        <w:t>LSTM Model</w:t>
      </w:r>
    </w:p>
    <w:p w14:paraId="3EC7D91A" w14:textId="77777777" w:rsidR="002E7F0C" w:rsidRDefault="00000000">
      <w:pPr>
        <w:spacing w:before="120" w:line="360" w:lineRule="auto"/>
        <w:jc w:val="center"/>
        <w:rPr>
          <w:b/>
          <w:sz w:val="20"/>
          <w:szCs w:val="20"/>
        </w:rPr>
      </w:pPr>
      <w:r>
        <w:rPr>
          <w:noProof/>
          <w:sz w:val="26"/>
          <w:szCs w:val="26"/>
        </w:rPr>
        <w:lastRenderedPageBreak/>
        <w:drawing>
          <wp:inline distT="114300" distB="114300" distL="114300" distR="114300" wp14:anchorId="5C220286" wp14:editId="1FC7A78C">
            <wp:extent cx="4909505" cy="1595824"/>
            <wp:effectExtent l="0" t="0" r="0" b="0"/>
            <wp:docPr id="11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909505" cy="1595824"/>
                    </a:xfrm>
                    <a:prstGeom prst="rect">
                      <a:avLst/>
                    </a:prstGeom>
                    <a:ln/>
                  </pic:spPr>
                </pic:pic>
              </a:graphicData>
            </a:graphic>
          </wp:inline>
        </w:drawing>
      </w:r>
    </w:p>
    <w:p w14:paraId="13E086CD" w14:textId="77777777" w:rsidR="002E7F0C" w:rsidRDefault="00000000">
      <w:pPr>
        <w:spacing w:before="120" w:line="360" w:lineRule="auto"/>
        <w:jc w:val="center"/>
        <w:rPr>
          <w:sz w:val="20"/>
          <w:szCs w:val="20"/>
        </w:rPr>
      </w:pPr>
      <w:r>
        <w:rPr>
          <w:b/>
          <w:sz w:val="20"/>
          <w:szCs w:val="20"/>
        </w:rPr>
        <w:t xml:space="preserve">Figure 8. </w:t>
      </w:r>
      <w:r>
        <w:rPr>
          <w:sz w:val="20"/>
          <w:szCs w:val="20"/>
        </w:rPr>
        <w:t>LSTM Model Training and Validation Accuracy and Loss</w:t>
      </w:r>
    </w:p>
    <w:p w14:paraId="27A01D79" w14:textId="77777777" w:rsidR="002E7F0C" w:rsidRDefault="00000000">
      <w:pPr>
        <w:spacing w:before="120" w:line="360" w:lineRule="auto"/>
        <w:rPr>
          <w:sz w:val="20"/>
          <w:szCs w:val="20"/>
        </w:rPr>
      </w:pPr>
      <w:r>
        <w:rPr>
          <w:sz w:val="20"/>
          <w:szCs w:val="20"/>
        </w:rPr>
        <w:t xml:space="preserve"> The LSTM model also overfits. Training accuracy rose steadily above 80%, while validation accuracy stalled at around 48%. Validation loss increased, indicating poor generalization.</w:t>
      </w:r>
    </w:p>
    <w:p w14:paraId="44976ADF" w14:textId="77777777" w:rsidR="002E7F0C" w:rsidRDefault="00000000">
      <w:pPr>
        <w:spacing w:line="276" w:lineRule="auto"/>
        <w:jc w:val="center"/>
      </w:pPr>
      <w:r>
        <w:rPr>
          <w:b/>
          <w:sz w:val="20"/>
          <w:szCs w:val="20"/>
        </w:rPr>
        <w:t xml:space="preserve">Table 2. </w:t>
      </w:r>
      <w:r>
        <w:rPr>
          <w:sz w:val="20"/>
          <w:szCs w:val="20"/>
        </w:rPr>
        <w:t>LSTM Confusion Matrix</w:t>
      </w:r>
    </w:p>
    <w:sdt>
      <w:sdtPr>
        <w:tag w:val="goog_rdk_57"/>
        <w:id w:val="1182281280"/>
        <w:lock w:val="contentLocked"/>
      </w:sdtPr>
      <w:sdtContent>
        <w:tbl>
          <w:tblPr>
            <w:tblStyle w:val="a9"/>
            <w:tblW w:w="6300" w:type="dxa"/>
            <w:jc w:val="center"/>
            <w:tblBorders>
              <w:top w:val="nil"/>
              <w:left w:val="nil"/>
              <w:bottom w:val="nil"/>
              <w:right w:val="nil"/>
              <w:insideH w:val="nil"/>
              <w:insideV w:val="nil"/>
            </w:tblBorders>
            <w:tblLayout w:type="fixed"/>
            <w:tblLook w:val="0600" w:firstRow="0" w:lastRow="0" w:firstColumn="0" w:lastColumn="0" w:noHBand="1" w:noVBand="1"/>
          </w:tblPr>
          <w:tblGrid>
            <w:gridCol w:w="900"/>
            <w:gridCol w:w="900"/>
            <w:gridCol w:w="1500"/>
            <w:gridCol w:w="1500"/>
            <w:gridCol w:w="1500"/>
          </w:tblGrid>
          <w:tr w:rsidR="002E7F0C" w14:paraId="31C15AEE" w14:textId="77777777">
            <w:trPr>
              <w:trHeight w:val="315"/>
              <w:jc w:val="center"/>
            </w:trPr>
            <w:sdt>
              <w:sdtPr>
                <w:tag w:val="goog_rdk_32"/>
                <w:id w:val="700408"/>
                <w:lock w:val="contentLocked"/>
              </w:sdtPr>
              <w:sdtContent>
                <w:tc>
                  <w:tcPr>
                    <w:tcW w:w="9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7FEBC486" w14:textId="77777777" w:rsidR="002E7F0C" w:rsidRDefault="002E7F0C">
                    <w:pPr>
                      <w:widowControl w:val="0"/>
                      <w:spacing w:line="276" w:lineRule="auto"/>
                      <w:rPr>
                        <w:rFonts w:ascii="Arial" w:eastAsia="Arial" w:hAnsi="Arial" w:cs="Arial"/>
                        <w:sz w:val="20"/>
                        <w:szCs w:val="20"/>
                      </w:rPr>
                    </w:pPr>
                  </w:p>
                </w:tc>
              </w:sdtContent>
            </w:sdt>
            <w:sdt>
              <w:sdtPr>
                <w:tag w:val="goog_rdk_33"/>
                <w:id w:val="1246343407"/>
                <w:lock w:val="contentLocked"/>
              </w:sdtPr>
              <w:sdtContent>
                <w:tc>
                  <w:tcPr>
                    <w:tcW w:w="900" w:type="dxa"/>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12DF4EE1"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Pred</w:t>
                    </w:r>
                  </w:p>
                </w:tc>
              </w:sdtContent>
            </w:sdt>
            <w:sdt>
              <w:sdtPr>
                <w:tag w:val="goog_rdk_34"/>
                <w:id w:val="1950413051"/>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1BE1CD81"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Negative</w:t>
                    </w:r>
                  </w:p>
                </w:tc>
              </w:sdtContent>
            </w:sdt>
            <w:sdt>
              <w:sdtPr>
                <w:tag w:val="goog_rdk_35"/>
                <w:id w:val="-1179193443"/>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40959771"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Neutral</w:t>
                    </w:r>
                  </w:p>
                </w:tc>
              </w:sdtContent>
            </w:sdt>
            <w:sdt>
              <w:sdtPr>
                <w:tag w:val="goog_rdk_36"/>
                <w:id w:val="-463330462"/>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45DFB220"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Positive</w:t>
                    </w:r>
                  </w:p>
                </w:tc>
              </w:sdtContent>
            </w:sdt>
          </w:tr>
          <w:tr w:rsidR="002E7F0C" w14:paraId="447E5280" w14:textId="77777777">
            <w:trPr>
              <w:trHeight w:val="315"/>
              <w:jc w:val="center"/>
            </w:trPr>
            <w:sdt>
              <w:sdtPr>
                <w:tag w:val="goog_rdk_37"/>
                <w:id w:val="843566354"/>
                <w:lock w:val="contentLocked"/>
              </w:sdtPr>
              <w:sdtContent>
                <w:tc>
                  <w:tcPr>
                    <w:tcW w:w="900" w:type="dxa"/>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61CA261D"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Actual</w:t>
                    </w:r>
                  </w:p>
                </w:tc>
              </w:sdtContent>
            </w:sdt>
            <w:sdt>
              <w:sdtPr>
                <w:tag w:val="goog_rdk_38"/>
                <w:id w:val="-474580380"/>
                <w:lock w:val="contentLocked"/>
              </w:sdtPr>
              <w:sdtContent>
                <w:tc>
                  <w:tcPr>
                    <w:tcW w:w="9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251595" w14:textId="77777777" w:rsidR="002E7F0C" w:rsidRDefault="002E7F0C">
                    <w:pPr>
                      <w:widowControl w:val="0"/>
                      <w:spacing w:line="276" w:lineRule="auto"/>
                      <w:rPr>
                        <w:rFonts w:ascii="Arial" w:eastAsia="Arial" w:hAnsi="Arial" w:cs="Arial"/>
                        <w:sz w:val="20"/>
                        <w:szCs w:val="20"/>
                      </w:rPr>
                    </w:pPr>
                  </w:p>
                </w:tc>
              </w:sdtContent>
            </w:sdt>
            <w:sdt>
              <w:sdtPr>
                <w:tag w:val="goog_rdk_39"/>
                <w:id w:val="1203355571"/>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60B9AFF2" w14:textId="77777777" w:rsidR="002E7F0C" w:rsidRDefault="002E7F0C">
                    <w:pPr>
                      <w:widowControl w:val="0"/>
                      <w:spacing w:line="276" w:lineRule="auto"/>
                      <w:rPr>
                        <w:rFonts w:ascii="Arial" w:eastAsia="Arial" w:hAnsi="Arial" w:cs="Arial"/>
                        <w:sz w:val="20"/>
                        <w:szCs w:val="20"/>
                      </w:rPr>
                    </w:pPr>
                  </w:p>
                </w:tc>
              </w:sdtContent>
            </w:sdt>
            <w:sdt>
              <w:sdtPr>
                <w:tag w:val="goog_rdk_40"/>
                <w:id w:val="981111476"/>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4E9FC74E" w14:textId="77777777" w:rsidR="002E7F0C" w:rsidRDefault="002E7F0C">
                    <w:pPr>
                      <w:widowControl w:val="0"/>
                      <w:spacing w:line="276" w:lineRule="auto"/>
                      <w:rPr>
                        <w:rFonts w:ascii="Arial" w:eastAsia="Arial" w:hAnsi="Arial" w:cs="Arial"/>
                        <w:sz w:val="20"/>
                        <w:szCs w:val="20"/>
                      </w:rPr>
                    </w:pPr>
                  </w:p>
                </w:tc>
              </w:sdtContent>
            </w:sdt>
            <w:sdt>
              <w:sdtPr>
                <w:tag w:val="goog_rdk_41"/>
                <w:id w:val="345960200"/>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62ADE6DB" w14:textId="77777777" w:rsidR="002E7F0C" w:rsidRDefault="002E7F0C">
                    <w:pPr>
                      <w:widowControl w:val="0"/>
                      <w:spacing w:line="276" w:lineRule="auto"/>
                      <w:rPr>
                        <w:rFonts w:ascii="Arial" w:eastAsia="Arial" w:hAnsi="Arial" w:cs="Arial"/>
                        <w:sz w:val="20"/>
                        <w:szCs w:val="20"/>
                      </w:rPr>
                    </w:pPr>
                  </w:p>
                </w:tc>
              </w:sdtContent>
            </w:sdt>
          </w:tr>
          <w:tr w:rsidR="002E7F0C" w14:paraId="1F866DF7" w14:textId="77777777">
            <w:trPr>
              <w:trHeight w:val="315"/>
              <w:jc w:val="center"/>
            </w:trPr>
            <w:sdt>
              <w:sdtPr>
                <w:tag w:val="goog_rdk_42"/>
                <w:id w:val="1079322198"/>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3D2FC467"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Negative</w:t>
                    </w:r>
                  </w:p>
                </w:tc>
              </w:sdtContent>
            </w:sdt>
            <w:sdt>
              <w:sdtPr>
                <w:tag w:val="goog_rdk_44"/>
                <w:id w:val="-1769786534"/>
                <w:lock w:val="contentLocked"/>
              </w:sdtPr>
              <w:sdtContent>
                <w:tc>
                  <w:tcPr>
                    <w:tcW w:w="15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6C8E7D54"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35</w:t>
                    </w:r>
                  </w:p>
                </w:tc>
              </w:sdtContent>
            </w:sdt>
            <w:sdt>
              <w:sdtPr>
                <w:tag w:val="goog_rdk_45"/>
                <w:id w:val="207718803"/>
                <w:lock w:val="contentLocked"/>
              </w:sdtPr>
              <w:sdtContent>
                <w:tc>
                  <w:tcPr>
                    <w:tcW w:w="15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16AFE85"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18</w:t>
                    </w:r>
                  </w:p>
                </w:tc>
              </w:sdtContent>
            </w:sdt>
            <w:sdt>
              <w:sdtPr>
                <w:tag w:val="goog_rdk_46"/>
                <w:id w:val="673735999"/>
                <w:lock w:val="contentLocked"/>
              </w:sdtPr>
              <w:sdtContent>
                <w:tc>
                  <w:tcPr>
                    <w:tcW w:w="15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0B309A8"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12</w:t>
                    </w:r>
                  </w:p>
                </w:tc>
              </w:sdtContent>
            </w:sdt>
          </w:tr>
          <w:tr w:rsidR="002E7F0C" w14:paraId="0E2D592F" w14:textId="77777777">
            <w:trPr>
              <w:trHeight w:val="315"/>
              <w:jc w:val="center"/>
            </w:trPr>
            <w:sdt>
              <w:sdtPr>
                <w:tag w:val="goog_rdk_47"/>
                <w:id w:val="411542969"/>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033560D8"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Neutral</w:t>
                    </w:r>
                  </w:p>
                </w:tc>
              </w:sdtContent>
            </w:sdt>
            <w:sdt>
              <w:sdtPr>
                <w:tag w:val="goog_rdk_49"/>
                <w:id w:val="-910774863"/>
                <w:lock w:val="contentLocked"/>
              </w:sdtPr>
              <w:sdtContent>
                <w:tc>
                  <w:tcPr>
                    <w:tcW w:w="15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31D0F637"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9</w:t>
                    </w:r>
                  </w:p>
                </w:tc>
              </w:sdtContent>
            </w:sdt>
            <w:sdt>
              <w:sdtPr>
                <w:tag w:val="goog_rdk_50"/>
                <w:id w:val="274633206"/>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827B38"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31</w:t>
                    </w:r>
                  </w:p>
                </w:tc>
              </w:sdtContent>
            </w:sdt>
            <w:sdt>
              <w:sdtPr>
                <w:tag w:val="goog_rdk_51"/>
                <w:id w:val="36682306"/>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0BDD8A8"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10</w:t>
                    </w:r>
                  </w:p>
                </w:tc>
              </w:sdtContent>
            </w:sdt>
          </w:tr>
          <w:tr w:rsidR="002E7F0C" w14:paraId="71B00395" w14:textId="77777777">
            <w:trPr>
              <w:trHeight w:val="315"/>
              <w:jc w:val="center"/>
            </w:trPr>
            <w:sdt>
              <w:sdtPr>
                <w:tag w:val="goog_rdk_52"/>
                <w:id w:val="-92920386"/>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7CC323BB"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Positive</w:t>
                    </w:r>
                  </w:p>
                </w:tc>
              </w:sdtContent>
            </w:sdt>
            <w:sdt>
              <w:sdtPr>
                <w:tag w:val="goog_rdk_54"/>
                <w:id w:val="150178205"/>
                <w:lock w:val="contentLocked"/>
              </w:sdtPr>
              <w:sdtContent>
                <w:tc>
                  <w:tcPr>
                    <w:tcW w:w="15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653EC976"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10</w:t>
                    </w:r>
                  </w:p>
                </w:tc>
              </w:sdtContent>
            </w:sdt>
            <w:sdt>
              <w:sdtPr>
                <w:tag w:val="goog_rdk_55"/>
                <w:id w:val="-411721496"/>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4C39427"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32</w:t>
                    </w:r>
                  </w:p>
                </w:tc>
              </w:sdtContent>
            </w:sdt>
            <w:sdt>
              <w:sdtPr>
                <w:tag w:val="goog_rdk_56"/>
                <w:id w:val="-766704971"/>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E175F4E"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19</w:t>
                    </w:r>
                  </w:p>
                </w:tc>
              </w:sdtContent>
            </w:sdt>
          </w:tr>
        </w:tbl>
      </w:sdtContent>
    </w:sdt>
    <w:p w14:paraId="08865994" w14:textId="77777777" w:rsidR="002E7F0C" w:rsidRDefault="00000000">
      <w:pPr>
        <w:spacing w:before="240" w:after="240" w:line="276" w:lineRule="auto"/>
        <w:jc w:val="both"/>
        <w:rPr>
          <w:sz w:val="20"/>
          <w:szCs w:val="20"/>
        </w:rPr>
      </w:pPr>
      <w:r>
        <w:rPr>
          <w:sz w:val="20"/>
          <w:szCs w:val="20"/>
        </w:rPr>
        <w:t>LSTM struggles with short text sequences, limiting its advantage in long-term dependency modeling. Insufficient regularization likely contributed to overfitting.</w:t>
      </w:r>
    </w:p>
    <w:p w14:paraId="25272C34" w14:textId="77777777" w:rsidR="002E7F0C" w:rsidRDefault="00F9557C">
      <w:pPr>
        <w:spacing w:after="120" w:line="276" w:lineRule="auto"/>
        <w:ind w:firstLine="425"/>
        <w:jc w:val="both"/>
        <w:rPr>
          <w:sz w:val="20"/>
          <w:szCs w:val="20"/>
        </w:rPr>
      </w:pPr>
      <w:r>
        <w:rPr>
          <w:noProof/>
        </w:rPr>
      </w:r>
      <w:r w:rsidR="00F9557C">
        <w:rPr>
          <w:noProof/>
        </w:rPr>
        <w:pict w14:anchorId="497369AB">
          <v:rect id="_x0000_i1030" alt="" style="width:439.45pt;height:.05pt;mso-width-percent:0;mso-height-percent:0;mso-width-percent:0;mso-height-percent:0" o:hrpct="939" o:hralign="center" o:hrstd="t" o:hr="t" fillcolor="#a0a0a0" stroked="f"/>
        </w:pict>
      </w:r>
    </w:p>
    <w:p w14:paraId="6AD78B86" w14:textId="77777777" w:rsidR="002E7F0C" w:rsidRDefault="00000000">
      <w:pPr>
        <w:numPr>
          <w:ilvl w:val="0"/>
          <w:numId w:val="1"/>
        </w:numPr>
        <w:spacing w:before="240" w:after="240" w:line="276" w:lineRule="auto"/>
        <w:jc w:val="both"/>
        <w:rPr>
          <w:b/>
          <w:sz w:val="20"/>
          <w:szCs w:val="20"/>
        </w:rPr>
      </w:pPr>
      <w:r>
        <w:rPr>
          <w:b/>
          <w:sz w:val="20"/>
          <w:szCs w:val="20"/>
        </w:rPr>
        <w:t>CNN–LSTM Model</w:t>
      </w:r>
    </w:p>
    <w:p w14:paraId="6A107C34" w14:textId="77777777" w:rsidR="002E7F0C" w:rsidRDefault="00000000">
      <w:pPr>
        <w:spacing w:line="360" w:lineRule="auto"/>
        <w:ind w:left="360"/>
        <w:jc w:val="center"/>
        <w:rPr>
          <w:b/>
          <w:sz w:val="26"/>
          <w:szCs w:val="26"/>
        </w:rPr>
      </w:pPr>
      <w:r>
        <w:rPr>
          <w:b/>
          <w:noProof/>
          <w:sz w:val="26"/>
          <w:szCs w:val="26"/>
        </w:rPr>
        <w:drawing>
          <wp:inline distT="114300" distB="114300" distL="114300" distR="114300" wp14:anchorId="677A5B8F" wp14:editId="5C17768E">
            <wp:extent cx="5399730" cy="1752600"/>
            <wp:effectExtent l="0" t="0" r="0" b="0"/>
            <wp:docPr id="11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399730" cy="1752600"/>
                    </a:xfrm>
                    <a:prstGeom prst="rect">
                      <a:avLst/>
                    </a:prstGeom>
                    <a:ln/>
                  </pic:spPr>
                </pic:pic>
              </a:graphicData>
            </a:graphic>
          </wp:inline>
        </w:drawing>
      </w:r>
    </w:p>
    <w:p w14:paraId="1579BFB8" w14:textId="77777777" w:rsidR="002E7F0C" w:rsidRDefault="00000000">
      <w:pPr>
        <w:spacing w:line="276" w:lineRule="auto"/>
        <w:jc w:val="center"/>
        <w:rPr>
          <w:sz w:val="20"/>
          <w:szCs w:val="20"/>
        </w:rPr>
      </w:pPr>
      <w:r>
        <w:rPr>
          <w:b/>
          <w:sz w:val="20"/>
          <w:szCs w:val="20"/>
        </w:rPr>
        <w:t xml:space="preserve">Figure 9. </w:t>
      </w:r>
      <w:r>
        <w:rPr>
          <w:sz w:val="20"/>
          <w:szCs w:val="20"/>
        </w:rPr>
        <w:t>CNN–LSTM Model Training and Validation Accuracy and Loss</w:t>
      </w:r>
    </w:p>
    <w:p w14:paraId="7ABCADBD" w14:textId="77777777" w:rsidR="002E7F0C" w:rsidRDefault="00000000">
      <w:pPr>
        <w:spacing w:before="240" w:after="240" w:line="276" w:lineRule="auto"/>
        <w:jc w:val="both"/>
        <w:rPr>
          <w:sz w:val="20"/>
          <w:szCs w:val="20"/>
        </w:rPr>
      </w:pPr>
      <w:r>
        <w:rPr>
          <w:sz w:val="20"/>
          <w:szCs w:val="20"/>
        </w:rPr>
        <w:t>The hybrid CNN–LSTM model shows moderate overfitting, with training accuracy around 63% and validation accuracy stuck at 50%. Validation loss increased, indicating difficulty generalizing despite the more complex architecture.</w:t>
      </w:r>
    </w:p>
    <w:p w14:paraId="336218D5" w14:textId="77777777" w:rsidR="002E7F0C" w:rsidRDefault="00000000">
      <w:pPr>
        <w:spacing w:line="276" w:lineRule="auto"/>
        <w:jc w:val="center"/>
      </w:pPr>
      <w:r>
        <w:rPr>
          <w:b/>
          <w:sz w:val="20"/>
          <w:szCs w:val="20"/>
        </w:rPr>
        <w:t xml:space="preserve">Table 3. </w:t>
      </w:r>
      <w:r>
        <w:rPr>
          <w:sz w:val="20"/>
          <w:szCs w:val="20"/>
        </w:rPr>
        <w:t>CNN–LSTM Confusion Matrix</w:t>
      </w:r>
    </w:p>
    <w:sdt>
      <w:sdtPr>
        <w:tag w:val="goog_rdk_83"/>
        <w:id w:val="2035735921"/>
        <w:lock w:val="contentLocked"/>
      </w:sdtPr>
      <w:sdtContent>
        <w:tbl>
          <w:tblPr>
            <w:tblStyle w:val="aa"/>
            <w:tblW w:w="6300" w:type="dxa"/>
            <w:jc w:val="center"/>
            <w:tblBorders>
              <w:top w:val="nil"/>
              <w:left w:val="nil"/>
              <w:bottom w:val="nil"/>
              <w:right w:val="nil"/>
              <w:insideH w:val="nil"/>
              <w:insideV w:val="nil"/>
            </w:tblBorders>
            <w:tblLayout w:type="fixed"/>
            <w:tblLook w:val="0600" w:firstRow="0" w:lastRow="0" w:firstColumn="0" w:lastColumn="0" w:noHBand="1" w:noVBand="1"/>
          </w:tblPr>
          <w:tblGrid>
            <w:gridCol w:w="900"/>
            <w:gridCol w:w="900"/>
            <w:gridCol w:w="1500"/>
            <w:gridCol w:w="1500"/>
            <w:gridCol w:w="1500"/>
          </w:tblGrid>
          <w:tr w:rsidR="002E7F0C" w14:paraId="03AD7C82" w14:textId="77777777">
            <w:trPr>
              <w:trHeight w:val="315"/>
              <w:jc w:val="center"/>
            </w:trPr>
            <w:sdt>
              <w:sdtPr>
                <w:tag w:val="goog_rdk_58"/>
                <w:id w:val="698847683"/>
                <w:lock w:val="contentLocked"/>
              </w:sdtPr>
              <w:sdtContent>
                <w:tc>
                  <w:tcPr>
                    <w:tcW w:w="9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555F6FE1" w14:textId="77777777" w:rsidR="002E7F0C" w:rsidRDefault="002E7F0C">
                    <w:pPr>
                      <w:widowControl w:val="0"/>
                      <w:spacing w:line="276" w:lineRule="auto"/>
                      <w:rPr>
                        <w:rFonts w:ascii="Arial" w:eastAsia="Arial" w:hAnsi="Arial" w:cs="Arial"/>
                        <w:sz w:val="20"/>
                        <w:szCs w:val="20"/>
                      </w:rPr>
                    </w:pPr>
                  </w:p>
                </w:tc>
              </w:sdtContent>
            </w:sdt>
            <w:sdt>
              <w:sdtPr>
                <w:tag w:val="goog_rdk_59"/>
                <w:id w:val="1623742827"/>
                <w:lock w:val="contentLocked"/>
              </w:sdtPr>
              <w:sdtContent>
                <w:tc>
                  <w:tcPr>
                    <w:tcW w:w="900" w:type="dxa"/>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4953F609"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Pred</w:t>
                    </w:r>
                  </w:p>
                </w:tc>
              </w:sdtContent>
            </w:sdt>
            <w:sdt>
              <w:sdtPr>
                <w:tag w:val="goog_rdk_60"/>
                <w:id w:val="-200706501"/>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3512954E"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Negative</w:t>
                    </w:r>
                  </w:p>
                </w:tc>
              </w:sdtContent>
            </w:sdt>
            <w:sdt>
              <w:sdtPr>
                <w:tag w:val="goog_rdk_61"/>
                <w:id w:val="-1523746123"/>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24F6A99A"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Neutral</w:t>
                    </w:r>
                  </w:p>
                </w:tc>
              </w:sdtContent>
            </w:sdt>
            <w:sdt>
              <w:sdtPr>
                <w:tag w:val="goog_rdk_62"/>
                <w:id w:val="-948138224"/>
                <w:lock w:val="contentLocked"/>
              </w:sdtPr>
              <w:sdtContent>
                <w:tc>
                  <w:tcPr>
                    <w:tcW w:w="1500" w:type="dxa"/>
                    <w:vMerge w:val="restart"/>
                    <w:tcBorders>
                      <w:top w:val="single" w:sz="5" w:space="0" w:color="000000"/>
                      <w:left w:val="single" w:sz="5" w:space="0" w:color="CCCCCC"/>
                      <w:bottom w:val="single" w:sz="5" w:space="0" w:color="000000"/>
                      <w:right w:val="single" w:sz="5" w:space="0" w:color="000000"/>
                    </w:tcBorders>
                    <w:shd w:val="clear" w:color="auto" w:fill="FCE5CD"/>
                    <w:tcMar>
                      <w:top w:w="40" w:type="dxa"/>
                      <w:left w:w="40" w:type="dxa"/>
                      <w:bottom w:w="40" w:type="dxa"/>
                      <w:right w:w="40" w:type="dxa"/>
                    </w:tcMar>
                    <w:vAlign w:val="center"/>
                  </w:tcPr>
                  <w:p w14:paraId="25D551BD"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Positive</w:t>
                    </w:r>
                  </w:p>
                </w:tc>
              </w:sdtContent>
            </w:sdt>
          </w:tr>
          <w:tr w:rsidR="002E7F0C" w14:paraId="43A089F9" w14:textId="77777777">
            <w:trPr>
              <w:trHeight w:val="315"/>
              <w:jc w:val="center"/>
            </w:trPr>
            <w:sdt>
              <w:sdtPr>
                <w:tag w:val="goog_rdk_63"/>
                <w:id w:val="1446334952"/>
                <w:lock w:val="contentLocked"/>
              </w:sdtPr>
              <w:sdtContent>
                <w:tc>
                  <w:tcPr>
                    <w:tcW w:w="900" w:type="dxa"/>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318E2739"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Actual</w:t>
                    </w:r>
                  </w:p>
                </w:tc>
              </w:sdtContent>
            </w:sdt>
            <w:sdt>
              <w:sdtPr>
                <w:tag w:val="goog_rdk_64"/>
                <w:id w:val="540130526"/>
                <w:lock w:val="contentLocked"/>
              </w:sdtPr>
              <w:sdtContent>
                <w:tc>
                  <w:tcPr>
                    <w:tcW w:w="9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5837EB0" w14:textId="77777777" w:rsidR="002E7F0C" w:rsidRDefault="002E7F0C">
                    <w:pPr>
                      <w:widowControl w:val="0"/>
                      <w:spacing w:line="276" w:lineRule="auto"/>
                      <w:rPr>
                        <w:rFonts w:ascii="Arial" w:eastAsia="Arial" w:hAnsi="Arial" w:cs="Arial"/>
                        <w:sz w:val="20"/>
                        <w:szCs w:val="20"/>
                      </w:rPr>
                    </w:pPr>
                  </w:p>
                </w:tc>
              </w:sdtContent>
            </w:sdt>
            <w:sdt>
              <w:sdtPr>
                <w:tag w:val="goog_rdk_65"/>
                <w:id w:val="249718178"/>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109FFCA2" w14:textId="77777777" w:rsidR="002E7F0C" w:rsidRDefault="002E7F0C">
                    <w:pPr>
                      <w:widowControl w:val="0"/>
                      <w:spacing w:line="276" w:lineRule="auto"/>
                      <w:rPr>
                        <w:rFonts w:ascii="Arial" w:eastAsia="Arial" w:hAnsi="Arial" w:cs="Arial"/>
                        <w:sz w:val="20"/>
                        <w:szCs w:val="20"/>
                      </w:rPr>
                    </w:pPr>
                  </w:p>
                </w:tc>
              </w:sdtContent>
            </w:sdt>
            <w:sdt>
              <w:sdtPr>
                <w:tag w:val="goog_rdk_66"/>
                <w:id w:val="2134084230"/>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64AB8C65" w14:textId="77777777" w:rsidR="002E7F0C" w:rsidRDefault="002E7F0C">
                    <w:pPr>
                      <w:widowControl w:val="0"/>
                      <w:spacing w:line="276" w:lineRule="auto"/>
                      <w:rPr>
                        <w:rFonts w:ascii="Arial" w:eastAsia="Arial" w:hAnsi="Arial" w:cs="Arial"/>
                        <w:sz w:val="20"/>
                        <w:szCs w:val="20"/>
                      </w:rPr>
                    </w:pPr>
                  </w:p>
                </w:tc>
              </w:sdtContent>
            </w:sdt>
            <w:sdt>
              <w:sdtPr>
                <w:tag w:val="goog_rdk_67"/>
                <w:id w:val="-1541042347"/>
                <w:lock w:val="contentLocked"/>
              </w:sdtPr>
              <w:sdtContent>
                <w:tc>
                  <w:tcPr>
                    <w:tcW w:w="1500" w:type="dxa"/>
                    <w:vMerge/>
                    <w:tcBorders>
                      <w:top w:val="single" w:sz="5" w:space="0" w:color="000000"/>
                      <w:left w:val="single" w:sz="5" w:space="0" w:color="CCCCCC"/>
                      <w:bottom w:val="single" w:sz="5" w:space="0" w:color="000000"/>
                      <w:right w:val="single" w:sz="5" w:space="0" w:color="000000"/>
                    </w:tcBorders>
                    <w:tcMar>
                      <w:top w:w="100" w:type="dxa"/>
                      <w:left w:w="100" w:type="dxa"/>
                      <w:bottom w:w="100" w:type="dxa"/>
                      <w:right w:w="100" w:type="dxa"/>
                    </w:tcMar>
                  </w:tcPr>
                  <w:p w14:paraId="2435EBB7" w14:textId="77777777" w:rsidR="002E7F0C" w:rsidRDefault="002E7F0C">
                    <w:pPr>
                      <w:widowControl w:val="0"/>
                      <w:spacing w:line="276" w:lineRule="auto"/>
                      <w:rPr>
                        <w:rFonts w:ascii="Arial" w:eastAsia="Arial" w:hAnsi="Arial" w:cs="Arial"/>
                        <w:sz w:val="20"/>
                        <w:szCs w:val="20"/>
                      </w:rPr>
                    </w:pPr>
                  </w:p>
                </w:tc>
              </w:sdtContent>
            </w:sdt>
          </w:tr>
          <w:tr w:rsidR="002E7F0C" w14:paraId="6A23A147" w14:textId="77777777">
            <w:trPr>
              <w:trHeight w:val="315"/>
              <w:jc w:val="center"/>
            </w:trPr>
            <w:sdt>
              <w:sdtPr>
                <w:tag w:val="goog_rdk_68"/>
                <w:id w:val="1078442700"/>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00D9DBAB"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Negative</w:t>
                    </w:r>
                  </w:p>
                </w:tc>
              </w:sdtContent>
            </w:sdt>
            <w:sdt>
              <w:sdtPr>
                <w:tag w:val="goog_rdk_70"/>
                <w:id w:val="1988397503"/>
                <w:lock w:val="contentLocked"/>
              </w:sdtPr>
              <w:sdtContent>
                <w:tc>
                  <w:tcPr>
                    <w:tcW w:w="15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40CCEA2A"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35</w:t>
                    </w:r>
                  </w:p>
                </w:tc>
              </w:sdtContent>
            </w:sdt>
            <w:sdt>
              <w:sdtPr>
                <w:tag w:val="goog_rdk_71"/>
                <w:id w:val="2040899835"/>
                <w:lock w:val="contentLocked"/>
              </w:sdtPr>
              <w:sdtContent>
                <w:tc>
                  <w:tcPr>
                    <w:tcW w:w="15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0402C32"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18</w:t>
                    </w:r>
                  </w:p>
                </w:tc>
              </w:sdtContent>
            </w:sdt>
            <w:sdt>
              <w:sdtPr>
                <w:tag w:val="goog_rdk_72"/>
                <w:id w:val="-770197362"/>
                <w:lock w:val="contentLocked"/>
              </w:sdtPr>
              <w:sdtContent>
                <w:tc>
                  <w:tcPr>
                    <w:tcW w:w="15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8EC3E6D"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12</w:t>
                    </w:r>
                  </w:p>
                </w:tc>
              </w:sdtContent>
            </w:sdt>
          </w:tr>
          <w:tr w:rsidR="002E7F0C" w14:paraId="0854DFDD" w14:textId="77777777">
            <w:trPr>
              <w:trHeight w:val="315"/>
              <w:jc w:val="center"/>
            </w:trPr>
            <w:sdt>
              <w:sdtPr>
                <w:tag w:val="goog_rdk_73"/>
                <w:id w:val="2086620188"/>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73EF1E25"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Neutral</w:t>
                    </w:r>
                  </w:p>
                </w:tc>
              </w:sdtContent>
            </w:sdt>
            <w:sdt>
              <w:sdtPr>
                <w:tag w:val="goog_rdk_75"/>
                <w:id w:val="-389901856"/>
                <w:lock w:val="contentLocked"/>
              </w:sdtPr>
              <w:sdtContent>
                <w:tc>
                  <w:tcPr>
                    <w:tcW w:w="15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37646D39"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9</w:t>
                    </w:r>
                  </w:p>
                </w:tc>
              </w:sdtContent>
            </w:sdt>
            <w:sdt>
              <w:sdtPr>
                <w:tag w:val="goog_rdk_76"/>
                <w:id w:val="-1380945233"/>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BF003F"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31</w:t>
                    </w:r>
                  </w:p>
                </w:tc>
              </w:sdtContent>
            </w:sdt>
            <w:sdt>
              <w:sdtPr>
                <w:tag w:val="goog_rdk_77"/>
                <w:id w:val="-857215795"/>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7930E1"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10</w:t>
                    </w:r>
                  </w:p>
                </w:tc>
              </w:sdtContent>
            </w:sdt>
          </w:tr>
          <w:tr w:rsidR="002E7F0C" w14:paraId="640D7F1F" w14:textId="77777777">
            <w:trPr>
              <w:trHeight w:val="315"/>
              <w:jc w:val="center"/>
            </w:trPr>
            <w:sdt>
              <w:sdtPr>
                <w:tag w:val="goog_rdk_78"/>
                <w:id w:val="-1960916022"/>
                <w:lock w:val="contentLocked"/>
              </w:sdtPr>
              <w:sdtContent>
                <w:tc>
                  <w:tcPr>
                    <w:tcW w:w="1800" w:type="dxa"/>
                    <w:gridSpan w:val="2"/>
                    <w:tcBorders>
                      <w:top w:val="single" w:sz="5" w:space="0" w:color="CCCCCC"/>
                      <w:left w:val="single" w:sz="5" w:space="0" w:color="000000"/>
                      <w:bottom w:val="single" w:sz="5" w:space="0" w:color="000000"/>
                      <w:right w:val="single" w:sz="5" w:space="0" w:color="000000"/>
                    </w:tcBorders>
                    <w:shd w:val="clear" w:color="auto" w:fill="CFE2F3"/>
                    <w:tcMar>
                      <w:top w:w="40" w:type="dxa"/>
                      <w:left w:w="40" w:type="dxa"/>
                      <w:bottom w:w="40" w:type="dxa"/>
                      <w:right w:w="40" w:type="dxa"/>
                    </w:tcMar>
                    <w:vAlign w:val="center"/>
                  </w:tcPr>
                  <w:p w14:paraId="3B1CD6A2"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Positive</w:t>
                    </w:r>
                  </w:p>
                </w:tc>
              </w:sdtContent>
            </w:sdt>
            <w:sdt>
              <w:sdtPr>
                <w:tag w:val="goog_rdk_80"/>
                <w:id w:val="870217646"/>
                <w:lock w:val="contentLocked"/>
              </w:sdtPr>
              <w:sdtContent>
                <w:tc>
                  <w:tcPr>
                    <w:tcW w:w="15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C62EB47"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10</w:t>
                    </w:r>
                  </w:p>
                </w:tc>
              </w:sdtContent>
            </w:sdt>
            <w:sdt>
              <w:sdtPr>
                <w:tag w:val="goog_rdk_81"/>
                <w:id w:val="1737174238"/>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9E8E83F"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32</w:t>
                    </w:r>
                  </w:p>
                </w:tc>
              </w:sdtContent>
            </w:sdt>
            <w:sdt>
              <w:sdtPr>
                <w:tag w:val="goog_rdk_82"/>
                <w:id w:val="-1038487795"/>
                <w:lock w:val="contentLocked"/>
              </w:sdtPr>
              <w:sdtContent>
                <w:tc>
                  <w:tcPr>
                    <w:tcW w:w="15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722907A" w14:textId="77777777" w:rsidR="002E7F0C"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19</w:t>
                    </w:r>
                  </w:p>
                </w:tc>
              </w:sdtContent>
            </w:sdt>
          </w:tr>
        </w:tbl>
      </w:sdtContent>
    </w:sdt>
    <w:p w14:paraId="74D2AA31" w14:textId="77777777" w:rsidR="002E7F0C" w:rsidRDefault="00000000">
      <w:pPr>
        <w:spacing w:before="240" w:after="240" w:line="276" w:lineRule="auto"/>
        <w:jc w:val="both"/>
        <w:rPr>
          <w:sz w:val="20"/>
          <w:szCs w:val="20"/>
        </w:rPr>
      </w:pPr>
      <w:r>
        <w:rPr>
          <w:sz w:val="20"/>
          <w:szCs w:val="20"/>
        </w:rPr>
        <w:t>The model frequently misclassified positive sentiment as negative or neutral, showing limited ability to distinguish positive emotions. CNN helped capture local patterns and LSTM added sequential context, but the combination wasn’t optimal for short-text data. Stronger regularization, dropout tuning, or pre-trained embeddings could improve results.</w:t>
      </w:r>
    </w:p>
    <w:p w14:paraId="50D80326" w14:textId="77777777" w:rsidR="002E7F0C" w:rsidRDefault="00000000">
      <w:pPr>
        <w:spacing w:before="240" w:after="240" w:line="276" w:lineRule="auto"/>
        <w:jc w:val="both"/>
        <w:rPr>
          <w:b/>
          <w:sz w:val="20"/>
          <w:szCs w:val="20"/>
        </w:rPr>
      </w:pPr>
      <w:r>
        <w:rPr>
          <w:b/>
          <w:sz w:val="20"/>
          <w:szCs w:val="20"/>
        </w:rPr>
        <w:t xml:space="preserve">CONCLUSION </w:t>
      </w:r>
    </w:p>
    <w:p w14:paraId="09FDB17C" w14:textId="77777777" w:rsidR="002E7F0C" w:rsidRDefault="00000000">
      <w:pPr>
        <w:spacing w:line="276" w:lineRule="auto"/>
        <w:ind w:firstLine="425"/>
        <w:jc w:val="both"/>
        <w:rPr>
          <w:sz w:val="20"/>
          <w:szCs w:val="20"/>
        </w:rPr>
      </w:pPr>
      <w:r>
        <w:rPr>
          <w:sz w:val="20"/>
          <w:szCs w:val="20"/>
        </w:rPr>
        <w:t xml:space="preserve">The viral </w:t>
      </w:r>
      <w:proofErr w:type="spellStart"/>
      <w:r>
        <w:rPr>
          <w:sz w:val="20"/>
          <w:szCs w:val="20"/>
        </w:rPr>
        <w:t>Pertamax</w:t>
      </w:r>
      <w:proofErr w:type="spellEnd"/>
      <w:r>
        <w:rPr>
          <w:sz w:val="20"/>
          <w:szCs w:val="20"/>
        </w:rPr>
        <w:t xml:space="preserve"> adulteration issue substantially reversed sentiment toward Pertamina: positive dominance gave way to negative sentiment with deeper intensity. Narratives shifted from institutional/operational topics toward price transparency, fairness, and governance. Among tested models, CNN was most stable yet still overfit on short texts with imbalanced labels. Future work should adopt pre-trained embeddings or Transformer architectures, expand data coverage, and balance classes to improve generalization.</w:t>
      </w:r>
    </w:p>
    <w:p w14:paraId="648E8C01" w14:textId="77777777" w:rsidR="002E7F0C" w:rsidRDefault="002E7F0C">
      <w:pPr>
        <w:spacing w:line="276" w:lineRule="auto"/>
        <w:ind w:firstLine="425"/>
        <w:jc w:val="both"/>
        <w:rPr>
          <w:sz w:val="20"/>
          <w:szCs w:val="20"/>
        </w:rPr>
      </w:pPr>
    </w:p>
    <w:p w14:paraId="4B9DF7C7" w14:textId="77777777" w:rsidR="002E7F0C" w:rsidRDefault="00000000">
      <w:pPr>
        <w:spacing w:after="120" w:line="276" w:lineRule="auto"/>
        <w:jc w:val="both"/>
        <w:rPr>
          <w:b/>
          <w:sz w:val="20"/>
          <w:szCs w:val="20"/>
        </w:rPr>
      </w:pPr>
      <w:r>
        <w:rPr>
          <w:b/>
          <w:sz w:val="20"/>
          <w:szCs w:val="20"/>
        </w:rPr>
        <w:t>REFERENCE</w:t>
      </w:r>
    </w:p>
    <w:p w14:paraId="063758F9" w14:textId="77777777" w:rsidR="002E7F0C" w:rsidRDefault="00000000">
      <w:pPr>
        <w:spacing w:line="276" w:lineRule="auto"/>
        <w:ind w:left="360" w:hanging="360"/>
        <w:jc w:val="both"/>
        <w:rPr>
          <w:sz w:val="20"/>
          <w:szCs w:val="20"/>
        </w:rPr>
      </w:pPr>
      <w:r>
        <w:rPr>
          <w:sz w:val="20"/>
          <w:szCs w:val="20"/>
        </w:rPr>
        <w:t xml:space="preserve">[1] H. D. Abubakar and M. Umar, “Sentiment Classification: Review of Text Vectorization Methods: Bag of Words, </w:t>
      </w:r>
      <w:proofErr w:type="spellStart"/>
      <w:r>
        <w:rPr>
          <w:sz w:val="20"/>
          <w:szCs w:val="20"/>
        </w:rPr>
        <w:t>Tf-Idf</w:t>
      </w:r>
      <w:proofErr w:type="spellEnd"/>
      <w:r>
        <w:rPr>
          <w:sz w:val="20"/>
          <w:szCs w:val="20"/>
        </w:rPr>
        <w:t>, Word2Vec and Doc2Vec,” SLU Journal, 2022.</w:t>
      </w:r>
    </w:p>
    <w:p w14:paraId="145D0D78" w14:textId="77777777" w:rsidR="002E7F0C" w:rsidRDefault="00000000">
      <w:pPr>
        <w:spacing w:line="276" w:lineRule="auto"/>
        <w:ind w:left="360" w:hanging="360"/>
        <w:jc w:val="both"/>
        <w:rPr>
          <w:sz w:val="20"/>
          <w:szCs w:val="20"/>
        </w:rPr>
      </w:pPr>
      <w:r>
        <w:rPr>
          <w:sz w:val="20"/>
          <w:szCs w:val="20"/>
        </w:rPr>
        <w:t xml:space="preserve">[2] M. S. Akhtar, D. Ghosal, A. Ekbal, P. Bhattacharyya, and S. Kurohashi, “A Multi-task Ensemble Framework for Emotion, Sentiment and Intensity Prediction,” </w:t>
      </w:r>
      <w:proofErr w:type="spellStart"/>
      <w:r>
        <w:rPr>
          <w:sz w:val="20"/>
          <w:szCs w:val="20"/>
        </w:rPr>
        <w:t>arXiv</w:t>
      </w:r>
      <w:proofErr w:type="spellEnd"/>
      <w:r>
        <w:rPr>
          <w:sz w:val="20"/>
          <w:szCs w:val="20"/>
        </w:rPr>
        <w:t>, 2018.</w:t>
      </w:r>
    </w:p>
    <w:p w14:paraId="50DA733C" w14:textId="77777777" w:rsidR="002E7F0C" w:rsidRDefault="00000000">
      <w:pPr>
        <w:spacing w:line="276" w:lineRule="auto"/>
        <w:ind w:left="360" w:hanging="360"/>
        <w:jc w:val="both"/>
        <w:rPr>
          <w:sz w:val="20"/>
          <w:szCs w:val="20"/>
        </w:rPr>
      </w:pPr>
      <w:r>
        <w:rPr>
          <w:sz w:val="20"/>
          <w:szCs w:val="20"/>
        </w:rPr>
        <w:t xml:space="preserve">[3] A. </w:t>
      </w:r>
      <w:proofErr w:type="spellStart"/>
      <w:r>
        <w:rPr>
          <w:sz w:val="20"/>
          <w:szCs w:val="20"/>
        </w:rPr>
        <w:t>Alasmari</w:t>
      </w:r>
      <w:proofErr w:type="spellEnd"/>
      <w:r>
        <w:rPr>
          <w:sz w:val="20"/>
          <w:szCs w:val="20"/>
        </w:rPr>
        <w:t xml:space="preserve">, N. Farooqi, and Y. Alotaibi, “Sentiment analysis of pilgrims using CNN-LSTM deep learning approach,” </w:t>
      </w:r>
      <w:proofErr w:type="spellStart"/>
      <w:r>
        <w:rPr>
          <w:sz w:val="20"/>
          <w:szCs w:val="20"/>
        </w:rPr>
        <w:t>PeerJ</w:t>
      </w:r>
      <w:proofErr w:type="spellEnd"/>
      <w:r>
        <w:rPr>
          <w:sz w:val="20"/>
          <w:szCs w:val="20"/>
        </w:rPr>
        <w:t xml:space="preserve"> Computer Science, 2024.</w:t>
      </w:r>
    </w:p>
    <w:p w14:paraId="678398F0" w14:textId="77777777" w:rsidR="002E7F0C" w:rsidRDefault="00000000">
      <w:pPr>
        <w:spacing w:line="276" w:lineRule="auto"/>
        <w:ind w:left="360" w:hanging="360"/>
        <w:jc w:val="both"/>
        <w:rPr>
          <w:sz w:val="20"/>
          <w:szCs w:val="20"/>
        </w:rPr>
      </w:pPr>
      <w:r>
        <w:rPr>
          <w:sz w:val="20"/>
          <w:szCs w:val="20"/>
        </w:rPr>
        <w:t>[4] S. Al-</w:t>
      </w:r>
      <w:proofErr w:type="spellStart"/>
      <w:r>
        <w:rPr>
          <w:sz w:val="20"/>
          <w:szCs w:val="20"/>
        </w:rPr>
        <w:t>Dhaqm</w:t>
      </w:r>
      <w:proofErr w:type="spellEnd"/>
      <w:r>
        <w:rPr>
          <w:sz w:val="20"/>
          <w:szCs w:val="20"/>
        </w:rPr>
        <w:t>, T. Ma, and W. Zhong, “Developing an Intelligent System with Deep Learning Algorithms for Sentiment,” PMC, 2021.</w:t>
      </w:r>
    </w:p>
    <w:p w14:paraId="3E8F2EB7" w14:textId="77777777" w:rsidR="002E7F0C" w:rsidRDefault="00000000">
      <w:pPr>
        <w:spacing w:line="276" w:lineRule="auto"/>
        <w:ind w:left="360" w:hanging="360"/>
        <w:jc w:val="both"/>
        <w:rPr>
          <w:sz w:val="20"/>
          <w:szCs w:val="20"/>
        </w:rPr>
      </w:pPr>
      <w:r>
        <w:rPr>
          <w:sz w:val="20"/>
          <w:szCs w:val="20"/>
        </w:rPr>
        <w:t>[5] J. Allen, “Exploratory Text Data Analysis,” Taylor &amp; Francis, 2018.</w:t>
      </w:r>
    </w:p>
    <w:p w14:paraId="1600022B" w14:textId="77777777" w:rsidR="002E7F0C" w:rsidRDefault="00000000">
      <w:pPr>
        <w:spacing w:line="276" w:lineRule="auto"/>
        <w:ind w:left="360" w:hanging="360"/>
        <w:jc w:val="both"/>
        <w:rPr>
          <w:sz w:val="20"/>
          <w:szCs w:val="20"/>
        </w:rPr>
      </w:pPr>
      <w:r>
        <w:rPr>
          <w:sz w:val="20"/>
          <w:szCs w:val="20"/>
        </w:rPr>
        <w:t xml:space="preserve">[6] P. Bojanowski, E. Grave, A. </w:t>
      </w:r>
      <w:proofErr w:type="spellStart"/>
      <w:r>
        <w:rPr>
          <w:sz w:val="20"/>
          <w:szCs w:val="20"/>
        </w:rPr>
        <w:t>Joulin</w:t>
      </w:r>
      <w:proofErr w:type="spellEnd"/>
      <w:r>
        <w:rPr>
          <w:sz w:val="20"/>
          <w:szCs w:val="20"/>
        </w:rPr>
        <w:t xml:space="preserve">, and T. Mikolov, “Enriching Word Vectors with </w:t>
      </w:r>
      <w:proofErr w:type="spellStart"/>
      <w:r>
        <w:rPr>
          <w:sz w:val="20"/>
          <w:szCs w:val="20"/>
        </w:rPr>
        <w:t>Subword</w:t>
      </w:r>
      <w:proofErr w:type="spellEnd"/>
      <w:r>
        <w:rPr>
          <w:sz w:val="20"/>
          <w:szCs w:val="20"/>
        </w:rPr>
        <w:t xml:space="preserve"> Information,” TACL, 2017.</w:t>
      </w:r>
    </w:p>
    <w:p w14:paraId="195FDD60" w14:textId="77777777" w:rsidR="002E7F0C" w:rsidRDefault="00000000">
      <w:pPr>
        <w:spacing w:line="276" w:lineRule="auto"/>
        <w:ind w:left="360" w:hanging="360"/>
        <w:jc w:val="both"/>
        <w:rPr>
          <w:sz w:val="20"/>
          <w:szCs w:val="20"/>
        </w:rPr>
      </w:pPr>
      <w:r>
        <w:rPr>
          <w:sz w:val="20"/>
          <w:szCs w:val="20"/>
        </w:rPr>
        <w:t>[7] L. Deng, T. Yin, Z. Li, and Q. Ge, “Analysis of the Effectiveness of CNN-LSTM Models Incorporating BERT and Attention Mechanisms,” Atlantis Press, 2022.</w:t>
      </w:r>
    </w:p>
    <w:p w14:paraId="0DBC76BB" w14:textId="77777777" w:rsidR="002E7F0C" w:rsidRDefault="00000000">
      <w:pPr>
        <w:spacing w:line="276" w:lineRule="auto"/>
        <w:ind w:left="360" w:hanging="360"/>
        <w:jc w:val="both"/>
        <w:rPr>
          <w:sz w:val="20"/>
          <w:szCs w:val="20"/>
        </w:rPr>
      </w:pPr>
      <w:r>
        <w:rPr>
          <w:sz w:val="20"/>
          <w:szCs w:val="20"/>
        </w:rPr>
        <w:t xml:space="preserve">[8] Y. Goldberg and O. Levy, “word2vec Explained: Deriving Mikolov et al.’s Negative-Sampling Word-Embedding Method,” </w:t>
      </w:r>
      <w:proofErr w:type="spellStart"/>
      <w:r>
        <w:rPr>
          <w:sz w:val="20"/>
          <w:szCs w:val="20"/>
        </w:rPr>
        <w:t>arXiv</w:t>
      </w:r>
      <w:proofErr w:type="spellEnd"/>
      <w:r>
        <w:rPr>
          <w:sz w:val="20"/>
          <w:szCs w:val="20"/>
        </w:rPr>
        <w:t>, 2014.</w:t>
      </w:r>
    </w:p>
    <w:p w14:paraId="1223A905" w14:textId="77777777" w:rsidR="002E7F0C" w:rsidRDefault="00000000">
      <w:pPr>
        <w:spacing w:line="276" w:lineRule="auto"/>
        <w:ind w:left="360" w:hanging="360"/>
        <w:jc w:val="both"/>
        <w:rPr>
          <w:sz w:val="20"/>
          <w:szCs w:val="20"/>
        </w:rPr>
      </w:pPr>
      <w:r>
        <w:rPr>
          <w:sz w:val="20"/>
          <w:szCs w:val="20"/>
        </w:rPr>
        <w:t>[9] M. Islam and T. Anwar, “An efficient CNN-LSTM model for sentiment detection in Black Lives Matter,” ResearchGate, 2024.</w:t>
      </w:r>
    </w:p>
    <w:p w14:paraId="7D17EA6C" w14:textId="77777777" w:rsidR="002E7F0C" w:rsidRDefault="00000000">
      <w:pPr>
        <w:spacing w:line="276" w:lineRule="auto"/>
        <w:ind w:left="360" w:hanging="360"/>
        <w:jc w:val="both"/>
        <w:rPr>
          <w:sz w:val="20"/>
          <w:szCs w:val="20"/>
        </w:rPr>
      </w:pPr>
      <w:r>
        <w:rPr>
          <w:sz w:val="20"/>
          <w:szCs w:val="20"/>
        </w:rPr>
        <w:t>[10] A. Jain and A. Singh, “Sentiment analysis from textual data using multiple channels deep learning,” JESIT, 2023.</w:t>
      </w:r>
    </w:p>
    <w:p w14:paraId="198927A0" w14:textId="77777777" w:rsidR="002E7F0C" w:rsidRDefault="00000000">
      <w:pPr>
        <w:spacing w:line="276" w:lineRule="auto"/>
        <w:ind w:left="360" w:hanging="360"/>
        <w:jc w:val="both"/>
        <w:rPr>
          <w:sz w:val="20"/>
          <w:szCs w:val="20"/>
        </w:rPr>
      </w:pPr>
      <w:r>
        <w:rPr>
          <w:sz w:val="20"/>
          <w:szCs w:val="20"/>
        </w:rPr>
        <w:t>[11] Y. Li and H. Zhu, “A Study of Text Vectorization Method Combining Topic Model and Transfer Learning,” MDPI Processes, 2023.</w:t>
      </w:r>
    </w:p>
    <w:p w14:paraId="3DC1D84D" w14:textId="77777777" w:rsidR="002E7F0C" w:rsidRDefault="00000000">
      <w:pPr>
        <w:spacing w:line="276" w:lineRule="auto"/>
        <w:ind w:left="360" w:hanging="360"/>
        <w:jc w:val="both"/>
        <w:rPr>
          <w:sz w:val="20"/>
          <w:szCs w:val="20"/>
        </w:rPr>
      </w:pPr>
      <w:r>
        <w:rPr>
          <w:sz w:val="20"/>
          <w:szCs w:val="20"/>
        </w:rPr>
        <w:t>[12] X. Liu, J. Li, Z. Chen, and H. Wang, “Efficient Long Short-Term Memory-Based Sentiment Analysis of E-Commerce Reviews,” PMC, 2023.</w:t>
      </w:r>
    </w:p>
    <w:p w14:paraId="5093DE22" w14:textId="77777777" w:rsidR="002E7F0C" w:rsidRDefault="00000000">
      <w:pPr>
        <w:spacing w:line="276" w:lineRule="auto"/>
        <w:ind w:left="360" w:hanging="360"/>
        <w:jc w:val="both"/>
        <w:rPr>
          <w:sz w:val="20"/>
          <w:szCs w:val="20"/>
        </w:rPr>
      </w:pPr>
      <w:r>
        <w:rPr>
          <w:sz w:val="20"/>
          <w:szCs w:val="20"/>
        </w:rPr>
        <w:t xml:space="preserve">[13] T. Mikolov, K. Chen, G. Corrado, and J. Dean, “Efficient Estimation of Word Representations in Vector Space,” </w:t>
      </w:r>
      <w:proofErr w:type="spellStart"/>
      <w:r>
        <w:rPr>
          <w:sz w:val="20"/>
          <w:szCs w:val="20"/>
        </w:rPr>
        <w:t>arXiv</w:t>
      </w:r>
      <w:proofErr w:type="spellEnd"/>
      <w:r>
        <w:rPr>
          <w:sz w:val="20"/>
          <w:szCs w:val="20"/>
        </w:rPr>
        <w:t>, 2013.</w:t>
      </w:r>
    </w:p>
    <w:p w14:paraId="53BDA839" w14:textId="77777777" w:rsidR="002E7F0C" w:rsidRDefault="00000000">
      <w:pPr>
        <w:spacing w:line="276" w:lineRule="auto"/>
        <w:ind w:left="360" w:hanging="360"/>
        <w:jc w:val="both"/>
        <w:rPr>
          <w:sz w:val="20"/>
          <w:szCs w:val="20"/>
        </w:rPr>
      </w:pPr>
      <w:r>
        <w:rPr>
          <w:sz w:val="20"/>
          <w:szCs w:val="20"/>
        </w:rPr>
        <w:t xml:space="preserve">[14] S. </w:t>
      </w:r>
      <w:proofErr w:type="spellStart"/>
      <w:r>
        <w:rPr>
          <w:sz w:val="20"/>
          <w:szCs w:val="20"/>
        </w:rPr>
        <w:t>Minaee</w:t>
      </w:r>
      <w:proofErr w:type="spellEnd"/>
      <w:r>
        <w:rPr>
          <w:sz w:val="20"/>
          <w:szCs w:val="20"/>
        </w:rPr>
        <w:t xml:space="preserve">, E. Azimi, and A. Abdolrashidi, “Deep Sentiment: Sentiment Analysis Using Ensemble of CNN and Bi-LSTM Models,” </w:t>
      </w:r>
      <w:proofErr w:type="spellStart"/>
      <w:r>
        <w:rPr>
          <w:sz w:val="20"/>
          <w:szCs w:val="20"/>
        </w:rPr>
        <w:t>arXiv</w:t>
      </w:r>
      <w:proofErr w:type="spellEnd"/>
      <w:r>
        <w:rPr>
          <w:sz w:val="20"/>
          <w:szCs w:val="20"/>
        </w:rPr>
        <w:t>, 2019.</w:t>
      </w:r>
    </w:p>
    <w:p w14:paraId="2DEB85CC" w14:textId="77777777" w:rsidR="002E7F0C" w:rsidRDefault="00000000">
      <w:pPr>
        <w:spacing w:line="276" w:lineRule="auto"/>
        <w:ind w:left="360" w:hanging="360"/>
        <w:jc w:val="both"/>
        <w:rPr>
          <w:sz w:val="20"/>
          <w:szCs w:val="20"/>
        </w:rPr>
      </w:pPr>
      <w:r>
        <w:rPr>
          <w:sz w:val="20"/>
          <w:szCs w:val="20"/>
        </w:rPr>
        <w:t>[15] N. Sharma and A. Sharan, “A Hybrid CNN-LSTM Based Natural Language Processing Model for Sentiment Analysis of Customer Product Reviews,” JHUNS, 2024.</w:t>
      </w:r>
    </w:p>
    <w:p w14:paraId="3F78BCF3" w14:textId="77777777" w:rsidR="002E7F0C" w:rsidRDefault="00000000">
      <w:pPr>
        <w:spacing w:line="276" w:lineRule="auto"/>
        <w:ind w:left="360" w:hanging="360"/>
        <w:jc w:val="both"/>
        <w:rPr>
          <w:sz w:val="20"/>
          <w:szCs w:val="20"/>
        </w:rPr>
      </w:pPr>
      <w:r>
        <w:rPr>
          <w:sz w:val="20"/>
          <w:szCs w:val="20"/>
        </w:rPr>
        <w:lastRenderedPageBreak/>
        <w:t xml:space="preserve">[16] F. B. </w:t>
      </w:r>
      <w:proofErr w:type="spellStart"/>
      <w:r>
        <w:rPr>
          <w:sz w:val="20"/>
          <w:szCs w:val="20"/>
        </w:rPr>
        <w:t>Viégas</w:t>
      </w:r>
      <w:proofErr w:type="spellEnd"/>
      <w:r>
        <w:rPr>
          <w:sz w:val="20"/>
          <w:szCs w:val="20"/>
        </w:rPr>
        <w:t xml:space="preserve"> and M. Wattenberg, “Word Cloud Explorer: Text Analytics Based on Word Clouds,” ResearchGate, 2015.</w:t>
      </w:r>
    </w:p>
    <w:p w14:paraId="15F587F4" w14:textId="77777777" w:rsidR="002E7F0C" w:rsidRDefault="00000000">
      <w:pPr>
        <w:spacing w:line="276" w:lineRule="auto"/>
        <w:ind w:left="360" w:hanging="360"/>
        <w:jc w:val="both"/>
        <w:rPr>
          <w:sz w:val="20"/>
          <w:szCs w:val="20"/>
        </w:rPr>
      </w:pPr>
      <w:r>
        <w:rPr>
          <w:sz w:val="20"/>
          <w:szCs w:val="20"/>
        </w:rPr>
        <w:t xml:space="preserve">[17] H. Wu, Y. Gu, S. Sun, and X. Gu, “Aspect-based Opinion Summarization with Convolutional Neural Networks,” </w:t>
      </w:r>
      <w:proofErr w:type="spellStart"/>
      <w:r>
        <w:rPr>
          <w:sz w:val="20"/>
          <w:szCs w:val="20"/>
        </w:rPr>
        <w:t>arXiv</w:t>
      </w:r>
      <w:proofErr w:type="spellEnd"/>
      <w:r>
        <w:rPr>
          <w:sz w:val="20"/>
          <w:szCs w:val="20"/>
        </w:rPr>
        <w:t>, 2015.</w:t>
      </w:r>
    </w:p>
    <w:p w14:paraId="076D4EAC" w14:textId="77777777" w:rsidR="002E7F0C" w:rsidRDefault="00000000">
      <w:pPr>
        <w:spacing w:line="276" w:lineRule="auto"/>
        <w:ind w:left="360" w:hanging="360"/>
        <w:jc w:val="both"/>
        <w:rPr>
          <w:sz w:val="20"/>
          <w:szCs w:val="20"/>
        </w:rPr>
      </w:pPr>
      <w:r>
        <w:rPr>
          <w:sz w:val="20"/>
          <w:szCs w:val="20"/>
        </w:rPr>
        <w:t>[18] S. Yadav and D. K. Vishwakarma, “Challenges and future in deep learning for sentiment analysis,” Springer, 2023.</w:t>
      </w:r>
    </w:p>
    <w:p w14:paraId="076FC45A" w14:textId="77777777" w:rsidR="002E7F0C" w:rsidRDefault="00000000">
      <w:pPr>
        <w:spacing w:line="276" w:lineRule="auto"/>
        <w:ind w:left="360" w:hanging="360"/>
        <w:jc w:val="both"/>
        <w:rPr>
          <w:sz w:val="20"/>
          <w:szCs w:val="20"/>
        </w:rPr>
      </w:pPr>
      <w:r>
        <w:rPr>
          <w:sz w:val="20"/>
          <w:szCs w:val="20"/>
        </w:rPr>
        <w:t>[19] X. Zhang and L. Yang, “Systematic Comparison of Vectorization Methods in Classification Context,” MDPI Applied Sciences, 2023.</w:t>
      </w:r>
    </w:p>
    <w:p w14:paraId="65CC5615" w14:textId="77777777" w:rsidR="002E7F0C" w:rsidRDefault="00000000">
      <w:pPr>
        <w:spacing w:line="276" w:lineRule="auto"/>
        <w:ind w:left="360" w:hanging="360"/>
        <w:jc w:val="both"/>
        <w:rPr>
          <w:sz w:val="20"/>
          <w:szCs w:val="20"/>
        </w:rPr>
      </w:pPr>
      <w:r>
        <w:rPr>
          <w:sz w:val="20"/>
          <w:szCs w:val="20"/>
        </w:rPr>
        <w:t xml:space="preserve">[20] C. Zhou, C. Sun, Z. Liu, and F. Lau, “A C-LSTM Neural Network for Text Classification,” </w:t>
      </w:r>
      <w:proofErr w:type="spellStart"/>
      <w:r>
        <w:rPr>
          <w:sz w:val="20"/>
          <w:szCs w:val="20"/>
        </w:rPr>
        <w:t>arXiv</w:t>
      </w:r>
      <w:proofErr w:type="spellEnd"/>
      <w:r>
        <w:rPr>
          <w:sz w:val="20"/>
          <w:szCs w:val="20"/>
        </w:rPr>
        <w:t>, 2015.</w:t>
      </w:r>
    </w:p>
    <w:p w14:paraId="6B0F55F8" w14:textId="77777777" w:rsidR="002E7F0C" w:rsidRDefault="002E7F0C">
      <w:pPr>
        <w:spacing w:after="120" w:line="276" w:lineRule="auto"/>
        <w:jc w:val="both"/>
        <w:rPr>
          <w:sz w:val="20"/>
          <w:szCs w:val="20"/>
        </w:rPr>
      </w:pPr>
    </w:p>
    <w:p w14:paraId="4661EBFA" w14:textId="77777777" w:rsidR="002E7F0C" w:rsidRDefault="002E7F0C">
      <w:pPr>
        <w:spacing w:line="276" w:lineRule="auto"/>
        <w:ind w:hanging="2"/>
        <w:jc w:val="both"/>
        <w:rPr>
          <w:color w:val="FF0000"/>
          <w:sz w:val="20"/>
          <w:szCs w:val="20"/>
        </w:rPr>
      </w:pPr>
    </w:p>
    <w:sectPr w:rsidR="002E7F0C">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850" w:footer="709" w:gutter="0"/>
      <w:pgNumType w:start="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CE7CA" w14:textId="77777777" w:rsidR="001A5812" w:rsidRDefault="001A5812">
      <w:r>
        <w:separator/>
      </w:r>
    </w:p>
  </w:endnote>
  <w:endnote w:type="continuationSeparator" w:id="0">
    <w:p w14:paraId="28493372" w14:textId="77777777" w:rsidR="001A5812" w:rsidRDefault="001A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9BD666A-02C1-314F-8C6B-2E2EFCC13C1B}"/>
    <w:embedBold r:id="rId2" w:fontKey="{A8A40464-7624-224C-BA63-F5AB28D7C503}"/>
    <w:embedItalic r:id="rId3" w:fontKey="{4B43B728-2B3D-F947-971F-797F37DCAFC0}"/>
    <w:embedBoldItalic r:id="rId4" w:fontKey="{82DC1AA4-ECAE-764A-9F33-41BEF64F3DD9}"/>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E0C3D456-C73F-A24E-96A7-43D9E8AB71AF}"/>
  </w:font>
  <w:font w:name="Georgia">
    <w:panose1 w:val="02040502050405020303"/>
    <w:charset w:val="00"/>
    <w:family w:val="roman"/>
    <w:pitch w:val="variable"/>
    <w:sig w:usb0="00000287" w:usb1="00000000" w:usb2="00000000" w:usb3="00000000" w:csb0="0000009F" w:csb1="00000000"/>
    <w:embedRegular r:id="rId6" w:fontKey="{F8F35868-6E63-2C4E-9ED7-F039807D48A4}"/>
    <w:embedItalic r:id="rId7" w:fontKey="{39263B09-5968-834C-A16B-C95F6F9C37A1}"/>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embedRegular r:id="rId8" w:fontKey="{EE9B7EBA-4EB2-9D44-A582-2F0CD8E69129}"/>
    <w:embedItalic r:id="rId9" w:fontKey="{FE086F0E-73FD-1949-9FC9-23B8A5F715BD}"/>
  </w:font>
  <w:font w:name="Cardo">
    <w:charset w:val="00"/>
    <w:family w:val="auto"/>
    <w:pitch w:val="default"/>
    <w:embedRegular r:id="rId10" w:fontKey="{776B6DB8-B9E3-EF42-A705-DBC8A6BE85B2}"/>
    <w:embedItalic r:id="rId11" w:fontKey="{417506FE-570C-9741-B716-2591A8E5D93C}"/>
  </w:font>
  <w:font w:name="Arial">
    <w:panose1 w:val="020B0604020202020204"/>
    <w:charset w:val="00"/>
    <w:family w:val="swiss"/>
    <w:pitch w:val="variable"/>
    <w:sig w:usb0="E0002AFF" w:usb1="C0007843" w:usb2="00000009" w:usb3="00000000" w:csb0="000001FF" w:csb1="00000000"/>
    <w:embedRegular r:id="rId12" w:fontKey="{992C72CA-0006-8140-B449-DC3118960451}"/>
  </w:font>
  <w:font w:name="Calibri">
    <w:panose1 w:val="020F0502020204030204"/>
    <w:charset w:val="00"/>
    <w:family w:val="swiss"/>
    <w:pitch w:val="variable"/>
    <w:sig w:usb0="E0002AFF" w:usb1="C000247B" w:usb2="00000009" w:usb3="00000000" w:csb0="000001FF" w:csb1="00000000"/>
    <w:embedRegular r:id="rId13" w:fontKey="{7B201301-A95A-0E41-AA35-CEA6EE0F460F}"/>
  </w:font>
  <w:font w:name="Cambria">
    <w:panose1 w:val="02040503050406030204"/>
    <w:charset w:val="00"/>
    <w:family w:val="roman"/>
    <w:pitch w:val="variable"/>
    <w:sig w:usb0="E00006FF" w:usb1="420024FF" w:usb2="02000000" w:usb3="00000000" w:csb0="0000019F" w:csb1="00000000"/>
    <w:embedRegular r:id="rId14" w:fontKey="{927AD581-3A97-3A48-964C-5EE59BCBA1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7DDC" w14:textId="77777777" w:rsidR="002E7F0C" w:rsidRDefault="00000000">
    <w:pPr>
      <w:pBdr>
        <w:top w:val="nil"/>
        <w:left w:val="nil"/>
        <w:bottom w:val="nil"/>
        <w:right w:val="nil"/>
        <w:between w:val="nil"/>
      </w:pBdr>
      <w:spacing w:before="60"/>
      <w:jc w:val="both"/>
      <w:rPr>
        <w:color w:val="000000"/>
        <w:sz w:val="18"/>
        <w:szCs w:val="18"/>
      </w:rPr>
    </w:pPr>
    <w:r>
      <w:rPr>
        <w:color w:val="000000"/>
        <w:sz w:val="18"/>
        <w:szCs w:val="18"/>
      </w:rPr>
      <w:t xml:space="preserve">U. </w:t>
    </w:r>
    <w:proofErr w:type="spellStart"/>
    <w:r>
      <w:rPr>
        <w:color w:val="000000"/>
        <w:sz w:val="18"/>
        <w:szCs w:val="18"/>
      </w:rPr>
      <w:t>Sambiri</w:t>
    </w:r>
    <w:proofErr w:type="spellEnd"/>
    <w:r>
      <w:rPr>
        <w:color w:val="000000"/>
        <w:sz w:val="18"/>
        <w:szCs w:val="18"/>
      </w:rPr>
      <w:t xml:space="preserve">, A. Saputra dan H.H. Isra, </w:t>
    </w:r>
    <w:r>
      <w:rPr>
        <w:sz w:val="18"/>
        <w:szCs w:val="18"/>
      </w:rPr>
      <w:t>"</w:t>
    </w:r>
    <w:proofErr w:type="spellStart"/>
    <w:r>
      <w:rPr>
        <w:color w:val="000000"/>
        <w:sz w:val="18"/>
        <w:szCs w:val="18"/>
      </w:rPr>
      <w:t>Analisis</w:t>
    </w:r>
    <w:proofErr w:type="spellEnd"/>
    <w:r>
      <w:rPr>
        <w:color w:val="000000"/>
        <w:sz w:val="18"/>
        <w:szCs w:val="18"/>
      </w:rPr>
      <w:t xml:space="preserve"> </w:t>
    </w:r>
    <w:proofErr w:type="spellStart"/>
    <w:r>
      <w:rPr>
        <w:color w:val="000000"/>
        <w:sz w:val="18"/>
        <w:szCs w:val="18"/>
      </w:rPr>
      <w:t>Pengaruh</w:t>
    </w:r>
    <w:proofErr w:type="spellEnd"/>
    <w:r>
      <w:rPr>
        <w:color w:val="000000"/>
        <w:sz w:val="18"/>
        <w:szCs w:val="18"/>
      </w:rPr>
      <w:t xml:space="preserve"> </w:t>
    </w:r>
    <w:proofErr w:type="spellStart"/>
    <w:r>
      <w:rPr>
        <w:color w:val="000000"/>
        <w:sz w:val="18"/>
        <w:szCs w:val="18"/>
      </w:rPr>
      <w:t>Keterampilan</w:t>
    </w:r>
    <w:proofErr w:type="spellEnd"/>
    <w:r>
      <w:rPr>
        <w:color w:val="000000"/>
        <w:sz w:val="18"/>
        <w:szCs w:val="18"/>
      </w:rPr>
      <w:t xml:space="preserve"> Proses Sains </w:t>
    </w:r>
    <w:proofErr w:type="spellStart"/>
    <w:r>
      <w:rPr>
        <w:color w:val="000000"/>
        <w:sz w:val="18"/>
        <w:szCs w:val="18"/>
      </w:rPr>
      <w:t>terhadap</w:t>
    </w:r>
    <w:proofErr w:type="spellEnd"/>
    <w:r>
      <w:rPr>
        <w:color w:val="000000"/>
        <w:sz w:val="18"/>
        <w:szCs w:val="18"/>
      </w:rPr>
      <w:t xml:space="preserve"> Hasil </w:t>
    </w:r>
    <w:proofErr w:type="spellStart"/>
    <w:r>
      <w:rPr>
        <w:color w:val="000000"/>
        <w:sz w:val="18"/>
        <w:szCs w:val="18"/>
      </w:rPr>
      <w:t>Belajar</w:t>
    </w:r>
    <w:proofErr w:type="spellEnd"/>
    <w:r>
      <w:rPr>
        <w:color w:val="000000"/>
        <w:sz w:val="18"/>
        <w:szCs w:val="18"/>
      </w:rPr>
      <w:t xml:space="preserve"> Fisika pada </w:t>
    </w:r>
    <w:proofErr w:type="spellStart"/>
    <w:r>
      <w:rPr>
        <w:color w:val="000000"/>
        <w:sz w:val="18"/>
        <w:szCs w:val="18"/>
      </w:rPr>
      <w:t>Mahasiswa</w:t>
    </w:r>
    <w:proofErr w:type="spellEnd"/>
    <w:r>
      <w:rPr>
        <w:color w:val="000000"/>
        <w:sz w:val="18"/>
        <w:szCs w:val="18"/>
      </w:rPr>
      <w:t xml:space="preserve"> Pendidikan Fisika FKIP Universitas Khairun,</w:t>
    </w:r>
    <w:r>
      <w:rPr>
        <w:sz w:val="18"/>
        <w:szCs w:val="18"/>
      </w:rPr>
      <w:t>"</w:t>
    </w:r>
    <w:r>
      <w:rPr>
        <w:color w:val="000000"/>
        <w:sz w:val="18"/>
        <w:szCs w:val="18"/>
      </w:rPr>
      <w:t xml:space="preserve"> SAINTIFIK@, vol. 9, no. 1, pp. 31-36, 2024, </w:t>
    </w:r>
    <w:proofErr w:type="spellStart"/>
    <w:r>
      <w:rPr>
        <w:color w:val="000000"/>
        <w:sz w:val="18"/>
        <w:szCs w:val="18"/>
      </w:rPr>
      <w:t>doi</w:t>
    </w:r>
    <w:proofErr w:type="spellEnd"/>
    <w:r>
      <w:rPr>
        <w:color w:val="000000"/>
        <w:sz w:val="18"/>
        <w:szCs w:val="18"/>
      </w:rPr>
      <w:t>: https://doi.org/10.33387/saintifik.v9i1.8242</w:t>
    </w:r>
    <w:r>
      <w:rPr>
        <w:noProof/>
      </w:rPr>
      <mc:AlternateContent>
        <mc:Choice Requires="wps">
          <w:drawing>
            <wp:anchor distT="0" distB="0" distL="114300" distR="114300" simplePos="0" relativeHeight="251669504" behindDoc="0" locked="0" layoutInCell="1" hidden="0" allowOverlap="1" wp14:anchorId="06A9CAB4" wp14:editId="3AD206ED">
              <wp:simplePos x="0" y="0"/>
              <wp:positionH relativeFrom="column">
                <wp:posOffset>2</wp:posOffset>
              </wp:positionH>
              <wp:positionV relativeFrom="paragraph">
                <wp:posOffset>-11477</wp:posOffset>
              </wp:positionV>
              <wp:extent cx="0" cy="12700"/>
              <wp:effectExtent l="0" t="0" r="0" b="0"/>
              <wp:wrapNone/>
              <wp:docPr id="1163" name="Straight Arrow Connector 1163"/>
              <wp:cNvGraphicFramePr/>
              <a:graphic xmlns:a="http://schemas.openxmlformats.org/drawingml/2006/main">
                <a:graphicData uri="http://schemas.microsoft.com/office/word/2010/wordprocessingShape">
                  <wps:wsp>
                    <wps:cNvCnPr/>
                    <wps:spPr>
                      <a:xfrm>
                        <a:off x="2476191" y="3780000"/>
                        <a:ext cx="5739619" cy="0"/>
                      </a:xfrm>
                      <a:prstGeom prst="straightConnector1">
                        <a:avLst/>
                      </a:prstGeom>
                      <a:noFill/>
                      <a:ln w="9525" cap="flat" cmpd="sng">
                        <a:solidFill>
                          <a:srgbClr val="7F7F7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wp:posOffset>
              </wp:positionH>
              <wp:positionV relativeFrom="paragraph">
                <wp:posOffset>-11477</wp:posOffset>
              </wp:positionV>
              <wp:extent cx="0" cy="12700"/>
              <wp:effectExtent b="0" l="0" r="0" t="0"/>
              <wp:wrapNone/>
              <wp:docPr id="1163"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B2C1" w14:textId="77777777" w:rsidR="002E7F0C" w:rsidRDefault="00000000">
    <w:pPr>
      <w:pBdr>
        <w:top w:val="nil"/>
        <w:left w:val="nil"/>
        <w:bottom w:val="nil"/>
        <w:right w:val="nil"/>
        <w:between w:val="nil"/>
      </w:pBdr>
      <w:spacing w:before="60"/>
      <w:jc w:val="both"/>
      <w:rPr>
        <w:color w:val="000000"/>
        <w:sz w:val="18"/>
        <w:szCs w:val="18"/>
      </w:rPr>
    </w:pPr>
    <w:bookmarkStart w:id="2" w:name="_heading=h.tyjcwt" w:colFirst="0" w:colLast="0"/>
    <w:bookmarkEnd w:id="2"/>
    <w:r>
      <w:rPr>
        <w:color w:val="000000"/>
        <w:sz w:val="18"/>
        <w:szCs w:val="18"/>
      </w:rPr>
      <w:t xml:space="preserve">U. </w:t>
    </w:r>
    <w:proofErr w:type="spellStart"/>
    <w:r>
      <w:rPr>
        <w:color w:val="000000"/>
        <w:sz w:val="18"/>
        <w:szCs w:val="18"/>
      </w:rPr>
      <w:t>Sambiri</w:t>
    </w:r>
    <w:proofErr w:type="spellEnd"/>
    <w:r>
      <w:rPr>
        <w:color w:val="000000"/>
        <w:sz w:val="18"/>
        <w:szCs w:val="18"/>
      </w:rPr>
      <w:t xml:space="preserve">, A. Saputra dan H.H. Isra, </w:t>
    </w:r>
    <w:r>
      <w:rPr>
        <w:sz w:val="18"/>
        <w:szCs w:val="18"/>
      </w:rPr>
      <w:t>"</w:t>
    </w:r>
    <w:proofErr w:type="spellStart"/>
    <w:r>
      <w:rPr>
        <w:color w:val="000000"/>
        <w:sz w:val="18"/>
        <w:szCs w:val="18"/>
      </w:rPr>
      <w:t>Analisis</w:t>
    </w:r>
    <w:proofErr w:type="spellEnd"/>
    <w:r>
      <w:rPr>
        <w:color w:val="000000"/>
        <w:sz w:val="18"/>
        <w:szCs w:val="18"/>
      </w:rPr>
      <w:t xml:space="preserve"> </w:t>
    </w:r>
    <w:proofErr w:type="spellStart"/>
    <w:r>
      <w:rPr>
        <w:color w:val="000000"/>
        <w:sz w:val="18"/>
        <w:szCs w:val="18"/>
      </w:rPr>
      <w:t>Pengaruh</w:t>
    </w:r>
    <w:proofErr w:type="spellEnd"/>
    <w:r>
      <w:rPr>
        <w:color w:val="000000"/>
        <w:sz w:val="18"/>
        <w:szCs w:val="18"/>
      </w:rPr>
      <w:t xml:space="preserve"> </w:t>
    </w:r>
    <w:proofErr w:type="spellStart"/>
    <w:r>
      <w:rPr>
        <w:color w:val="000000"/>
        <w:sz w:val="18"/>
        <w:szCs w:val="18"/>
      </w:rPr>
      <w:t>Keterampilan</w:t>
    </w:r>
    <w:proofErr w:type="spellEnd"/>
    <w:r>
      <w:rPr>
        <w:color w:val="000000"/>
        <w:sz w:val="18"/>
        <w:szCs w:val="18"/>
      </w:rPr>
      <w:t xml:space="preserve"> Proses Sains </w:t>
    </w:r>
    <w:proofErr w:type="spellStart"/>
    <w:r>
      <w:rPr>
        <w:color w:val="000000"/>
        <w:sz w:val="18"/>
        <w:szCs w:val="18"/>
      </w:rPr>
      <w:t>terhadap</w:t>
    </w:r>
    <w:proofErr w:type="spellEnd"/>
    <w:r>
      <w:rPr>
        <w:color w:val="000000"/>
        <w:sz w:val="18"/>
        <w:szCs w:val="18"/>
      </w:rPr>
      <w:t xml:space="preserve"> Hasil </w:t>
    </w:r>
    <w:proofErr w:type="spellStart"/>
    <w:r>
      <w:rPr>
        <w:color w:val="000000"/>
        <w:sz w:val="18"/>
        <w:szCs w:val="18"/>
      </w:rPr>
      <w:t>Belajar</w:t>
    </w:r>
    <w:proofErr w:type="spellEnd"/>
    <w:r>
      <w:rPr>
        <w:color w:val="000000"/>
        <w:sz w:val="18"/>
        <w:szCs w:val="18"/>
      </w:rPr>
      <w:t xml:space="preserve"> Fisika pada </w:t>
    </w:r>
    <w:proofErr w:type="spellStart"/>
    <w:r>
      <w:rPr>
        <w:color w:val="000000"/>
        <w:sz w:val="18"/>
        <w:szCs w:val="18"/>
      </w:rPr>
      <w:t>Mahasiswa</w:t>
    </w:r>
    <w:proofErr w:type="spellEnd"/>
    <w:r>
      <w:rPr>
        <w:color w:val="000000"/>
        <w:sz w:val="18"/>
        <w:szCs w:val="18"/>
      </w:rPr>
      <w:t xml:space="preserve"> Pendidikan Fisika FKIP Universitas Khairun,</w:t>
    </w:r>
    <w:r>
      <w:rPr>
        <w:sz w:val="18"/>
        <w:szCs w:val="18"/>
      </w:rPr>
      <w:t>"</w:t>
    </w:r>
    <w:r>
      <w:rPr>
        <w:color w:val="000000"/>
        <w:sz w:val="18"/>
        <w:szCs w:val="18"/>
      </w:rPr>
      <w:t xml:space="preserve"> SAINTIFIK@, vol. 9, no. 1, pp. 31-36, 2024, </w:t>
    </w:r>
    <w:proofErr w:type="spellStart"/>
    <w:r>
      <w:rPr>
        <w:color w:val="000000"/>
        <w:sz w:val="18"/>
        <w:szCs w:val="18"/>
      </w:rPr>
      <w:t>doi</w:t>
    </w:r>
    <w:proofErr w:type="spellEnd"/>
    <w:r>
      <w:rPr>
        <w:color w:val="000000"/>
        <w:sz w:val="18"/>
        <w:szCs w:val="18"/>
      </w:rPr>
      <w:t>: https://doi.org/10.33387/saintifik.v9i1.8242</w:t>
    </w:r>
    <w:r>
      <w:rPr>
        <w:noProof/>
      </w:rPr>
      <mc:AlternateContent>
        <mc:Choice Requires="wps">
          <w:drawing>
            <wp:anchor distT="0" distB="0" distL="114300" distR="114300" simplePos="0" relativeHeight="251667456" behindDoc="0" locked="0" layoutInCell="1" hidden="0" allowOverlap="1" wp14:anchorId="26607A08" wp14:editId="5E3646C4">
              <wp:simplePos x="0" y="0"/>
              <wp:positionH relativeFrom="column">
                <wp:posOffset>-6348</wp:posOffset>
              </wp:positionH>
              <wp:positionV relativeFrom="paragraph">
                <wp:posOffset>6300</wp:posOffset>
              </wp:positionV>
              <wp:extent cx="0" cy="12700"/>
              <wp:effectExtent l="0" t="0" r="0" b="0"/>
              <wp:wrapNone/>
              <wp:docPr id="1162" name="Straight Arrow Connector 1162"/>
              <wp:cNvGraphicFramePr/>
              <a:graphic xmlns:a="http://schemas.openxmlformats.org/drawingml/2006/main">
                <a:graphicData uri="http://schemas.microsoft.com/office/word/2010/wordprocessingShape">
                  <wps:wsp>
                    <wps:cNvCnPr/>
                    <wps:spPr>
                      <a:xfrm>
                        <a:off x="2476191" y="3780000"/>
                        <a:ext cx="5739619" cy="0"/>
                      </a:xfrm>
                      <a:prstGeom prst="straightConnector1">
                        <a:avLst/>
                      </a:prstGeom>
                      <a:noFill/>
                      <a:ln w="9525" cap="flat" cmpd="sng">
                        <a:solidFill>
                          <a:srgbClr val="7F7F7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-6348</wp:posOffset>
              </wp:positionH>
              <wp:positionV relativeFrom="paragraph">
                <wp:posOffset>6300</wp:posOffset>
              </wp:positionV>
              <wp:extent cx="0" cy="12700"/>
              <wp:effectExtent b="0" l="0" r="0" t="0"/>
              <wp:wrapNone/>
              <wp:docPr id="1162"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1C7A81CA" w14:textId="77777777" w:rsidR="002E7F0C" w:rsidRDefault="002E7F0C">
    <w:pPr>
      <w:pBdr>
        <w:top w:val="nil"/>
        <w:left w:val="nil"/>
        <w:bottom w:val="nil"/>
        <w:right w:val="nil"/>
        <w:between w:val="nil"/>
      </w:pBdr>
      <w:ind w:hanging="2"/>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B515" w14:textId="77777777" w:rsidR="002E7F0C" w:rsidRDefault="00000000">
    <w:pPr>
      <w:pBdr>
        <w:top w:val="nil"/>
        <w:left w:val="nil"/>
        <w:bottom w:val="nil"/>
        <w:right w:val="nil"/>
        <w:between w:val="nil"/>
      </w:pBdr>
      <w:ind w:hanging="2"/>
      <w:jc w:val="both"/>
      <w:rPr>
        <w:color w:val="000000"/>
      </w:rPr>
    </w:pPr>
    <w:r>
      <w:rPr>
        <w:color w:val="000000"/>
        <w:sz w:val="18"/>
        <w:szCs w:val="18"/>
      </w:rPr>
      <w:t xml:space="preserve">Karya </w:t>
    </w:r>
    <w:proofErr w:type="spellStart"/>
    <w:r>
      <w:rPr>
        <w:color w:val="000000"/>
        <w:sz w:val="18"/>
        <w:szCs w:val="18"/>
      </w:rPr>
      <w:t>ini</w:t>
    </w:r>
    <w:proofErr w:type="spellEnd"/>
    <w:r>
      <w:rPr>
        <w:color w:val="000000"/>
        <w:sz w:val="18"/>
        <w:szCs w:val="18"/>
      </w:rPr>
      <w:t xml:space="preserve"> </w:t>
    </w:r>
    <w:proofErr w:type="spellStart"/>
    <w:r>
      <w:rPr>
        <w:color w:val="000000"/>
        <w:sz w:val="18"/>
        <w:szCs w:val="18"/>
      </w:rPr>
      <w:t>dapat</w:t>
    </w:r>
    <w:proofErr w:type="spellEnd"/>
    <w:r>
      <w:rPr>
        <w:color w:val="000000"/>
        <w:sz w:val="18"/>
        <w:szCs w:val="18"/>
      </w:rPr>
      <w:t xml:space="preserve"> </w:t>
    </w:r>
    <w:proofErr w:type="spellStart"/>
    <w:r>
      <w:rPr>
        <w:color w:val="000000"/>
        <w:sz w:val="18"/>
        <w:szCs w:val="18"/>
      </w:rPr>
      <w:t>digunakan</w:t>
    </w:r>
    <w:proofErr w:type="spellEnd"/>
    <w:r>
      <w:rPr>
        <w:color w:val="000000"/>
        <w:sz w:val="18"/>
        <w:szCs w:val="18"/>
      </w:rPr>
      <w:t xml:space="preserve"> </w:t>
    </w:r>
    <w:proofErr w:type="spellStart"/>
    <w:r>
      <w:rPr>
        <w:color w:val="000000"/>
        <w:sz w:val="18"/>
        <w:szCs w:val="18"/>
      </w:rPr>
      <w:t>berdasarkan</w:t>
    </w:r>
    <w:proofErr w:type="spellEnd"/>
    <w:r>
      <w:rPr>
        <w:color w:val="000000"/>
        <w:sz w:val="18"/>
        <w:szCs w:val="18"/>
      </w:rPr>
      <w:t xml:space="preserve"> </w:t>
    </w:r>
    <w:proofErr w:type="spellStart"/>
    <w:r>
      <w:rPr>
        <w:color w:val="000000"/>
        <w:sz w:val="18"/>
        <w:szCs w:val="18"/>
      </w:rPr>
      <w:t>ketentuan</w:t>
    </w:r>
    <w:proofErr w:type="spellEnd"/>
    <w:r>
      <w:rPr>
        <w:color w:val="000000"/>
        <w:sz w:val="18"/>
        <w:szCs w:val="18"/>
      </w:rPr>
      <w:t xml:space="preserve"> </w:t>
    </w:r>
    <w:hyperlink r:id="rId1">
      <w:r w:rsidR="002E7F0C">
        <w:rPr>
          <w:color w:val="0000FF"/>
          <w:sz w:val="18"/>
          <w:szCs w:val="18"/>
        </w:rPr>
        <w:t xml:space="preserve">Creative Commons Attribution 4.0 International </w:t>
      </w:r>
      <w:proofErr w:type="spellStart"/>
      <w:r w:rsidR="002E7F0C">
        <w:rPr>
          <w:color w:val="0000FF"/>
          <w:sz w:val="18"/>
          <w:szCs w:val="18"/>
        </w:rPr>
        <w:t>Licence</w:t>
      </w:r>
      <w:proofErr w:type="spellEnd"/>
    </w:hyperlink>
    <w:r>
      <w:rPr>
        <w:color w:val="000000"/>
        <w:sz w:val="18"/>
        <w:szCs w:val="18"/>
      </w:rPr>
      <w:t xml:space="preserve">, </w:t>
    </w:r>
    <w:proofErr w:type="spellStart"/>
    <w:r>
      <w:rPr>
        <w:color w:val="000000"/>
        <w:sz w:val="18"/>
        <w:szCs w:val="18"/>
      </w:rPr>
      <w:t>Distribusi</w:t>
    </w:r>
    <w:proofErr w:type="spellEnd"/>
    <w:r>
      <w:rPr>
        <w:color w:val="000000"/>
        <w:sz w:val="18"/>
        <w:szCs w:val="18"/>
      </w:rPr>
      <w:t xml:space="preserve"> </w:t>
    </w:r>
    <w:proofErr w:type="spellStart"/>
    <w:r>
      <w:rPr>
        <w:color w:val="000000"/>
        <w:sz w:val="18"/>
        <w:szCs w:val="18"/>
      </w:rPr>
      <w:t>lebih</w:t>
    </w:r>
    <w:proofErr w:type="spellEnd"/>
    <w:r>
      <w:rPr>
        <w:color w:val="000000"/>
        <w:sz w:val="18"/>
        <w:szCs w:val="18"/>
      </w:rPr>
      <w:t xml:space="preserve"> </w:t>
    </w:r>
    <w:proofErr w:type="spellStart"/>
    <w:r>
      <w:rPr>
        <w:color w:val="000000"/>
        <w:sz w:val="18"/>
        <w:szCs w:val="18"/>
      </w:rPr>
      <w:t>lanjut</w:t>
    </w:r>
    <w:proofErr w:type="spellEnd"/>
    <w:r>
      <w:rPr>
        <w:color w:val="000000"/>
        <w:sz w:val="18"/>
        <w:szCs w:val="18"/>
      </w:rPr>
      <w:t xml:space="preserve"> </w:t>
    </w:r>
    <w:proofErr w:type="spellStart"/>
    <w:r>
      <w:rPr>
        <w:color w:val="000000"/>
        <w:sz w:val="18"/>
        <w:szCs w:val="18"/>
      </w:rPr>
      <w:t>harus</w:t>
    </w:r>
    <w:proofErr w:type="spellEnd"/>
    <w:r>
      <w:rPr>
        <w:color w:val="000000"/>
        <w:sz w:val="18"/>
        <w:szCs w:val="18"/>
      </w:rPr>
      <w:t xml:space="preserve"> </w:t>
    </w:r>
    <w:proofErr w:type="spellStart"/>
    <w:r>
      <w:rPr>
        <w:color w:val="000000"/>
        <w:sz w:val="18"/>
        <w:szCs w:val="18"/>
      </w:rPr>
      <w:t>mencantumkan</w:t>
    </w:r>
    <w:proofErr w:type="spellEnd"/>
    <w:r>
      <w:rPr>
        <w:color w:val="000000"/>
        <w:sz w:val="18"/>
        <w:szCs w:val="18"/>
      </w:rPr>
      <w:t xml:space="preserve"> </w:t>
    </w:r>
    <w:proofErr w:type="spellStart"/>
    <w:r>
      <w:rPr>
        <w:color w:val="000000"/>
        <w:sz w:val="18"/>
        <w:szCs w:val="18"/>
      </w:rPr>
      <w:t>atribusi</w:t>
    </w:r>
    <w:proofErr w:type="spellEnd"/>
    <w:r>
      <w:rPr>
        <w:color w:val="000000"/>
        <w:sz w:val="18"/>
        <w:szCs w:val="18"/>
      </w:rPr>
      <w:t xml:space="preserve"> </w:t>
    </w:r>
    <w:proofErr w:type="spellStart"/>
    <w:r>
      <w:rPr>
        <w:color w:val="000000"/>
        <w:sz w:val="18"/>
        <w:szCs w:val="18"/>
      </w:rPr>
      <w:t>kepada</w:t>
    </w:r>
    <w:proofErr w:type="spellEnd"/>
    <w:r>
      <w:rPr>
        <w:color w:val="000000"/>
        <w:sz w:val="18"/>
        <w:szCs w:val="18"/>
      </w:rPr>
      <w:t xml:space="preserve"> </w:t>
    </w:r>
    <w:proofErr w:type="spellStart"/>
    <w:r>
      <w:rPr>
        <w:color w:val="000000"/>
        <w:sz w:val="18"/>
        <w:szCs w:val="18"/>
      </w:rPr>
      <w:t>penulis</w:t>
    </w:r>
    <w:proofErr w:type="spellEnd"/>
    <w:r>
      <w:rPr>
        <w:color w:val="000000"/>
        <w:sz w:val="18"/>
        <w:szCs w:val="18"/>
      </w:rPr>
      <w:t xml:space="preserve">, </w:t>
    </w:r>
    <w:proofErr w:type="spellStart"/>
    <w:r>
      <w:rPr>
        <w:color w:val="000000"/>
        <w:sz w:val="18"/>
        <w:szCs w:val="18"/>
      </w:rPr>
      <w:t>judul</w:t>
    </w:r>
    <w:proofErr w:type="spellEnd"/>
    <w:r>
      <w:rPr>
        <w:color w:val="000000"/>
        <w:sz w:val="18"/>
        <w:szCs w:val="18"/>
      </w:rPr>
      <w:t xml:space="preserve"> </w:t>
    </w:r>
    <w:proofErr w:type="spellStart"/>
    <w:r>
      <w:rPr>
        <w:color w:val="000000"/>
        <w:sz w:val="18"/>
        <w:szCs w:val="18"/>
      </w:rPr>
      <w:t>karya</w:t>
    </w:r>
    <w:proofErr w:type="spellEnd"/>
    <w:r>
      <w:rPr>
        <w:color w:val="000000"/>
        <w:sz w:val="18"/>
        <w:szCs w:val="18"/>
      </w:rPr>
      <w:t xml:space="preserve">, </w:t>
    </w:r>
    <w:proofErr w:type="spellStart"/>
    <w:r>
      <w:rPr>
        <w:color w:val="000000"/>
        <w:sz w:val="18"/>
        <w:szCs w:val="18"/>
      </w:rPr>
      <w:t>kutipan</w:t>
    </w:r>
    <w:proofErr w:type="spellEnd"/>
    <w:r>
      <w:rPr>
        <w:color w:val="000000"/>
        <w:sz w:val="18"/>
        <w:szCs w:val="18"/>
      </w:rPr>
      <w:t xml:space="preserve"> </w:t>
    </w:r>
    <w:proofErr w:type="spellStart"/>
    <w:r>
      <w:rPr>
        <w:color w:val="000000"/>
        <w:sz w:val="18"/>
        <w:szCs w:val="18"/>
      </w:rPr>
      <w:t>jurnal</w:t>
    </w:r>
    <w:proofErr w:type="spellEnd"/>
    <w:r>
      <w:rPr>
        <w:color w:val="000000"/>
        <w:sz w:val="18"/>
        <w:szCs w:val="18"/>
      </w:rPr>
      <w:t xml:space="preserve">, dan DOI. </w:t>
    </w:r>
    <w:proofErr w:type="spellStart"/>
    <w:r>
      <w:rPr>
        <w:color w:val="000000"/>
        <w:sz w:val="18"/>
        <w:szCs w:val="18"/>
      </w:rPr>
      <w:t>Lisensi</w:t>
    </w:r>
    <w:proofErr w:type="spellEnd"/>
    <w:r>
      <w:rPr>
        <w:color w:val="000000"/>
        <w:sz w:val="18"/>
        <w:szCs w:val="18"/>
      </w:rPr>
      <w:t xml:space="preserve"> </w:t>
    </w:r>
    <w:proofErr w:type="spellStart"/>
    <w:r>
      <w:rPr>
        <w:color w:val="000000"/>
        <w:sz w:val="18"/>
        <w:szCs w:val="18"/>
      </w:rPr>
      <w:t>ini</w:t>
    </w:r>
    <w:proofErr w:type="spellEnd"/>
    <w:r>
      <w:rPr>
        <w:color w:val="000000"/>
        <w:sz w:val="18"/>
        <w:szCs w:val="18"/>
      </w:rPr>
      <w:t xml:space="preserve"> </w:t>
    </w:r>
    <w:proofErr w:type="spellStart"/>
    <w:r>
      <w:rPr>
        <w:color w:val="000000"/>
        <w:sz w:val="18"/>
        <w:szCs w:val="18"/>
      </w:rPr>
      <w:t>diberikan</w:t>
    </w:r>
    <w:proofErr w:type="spellEnd"/>
    <w:r>
      <w:rPr>
        <w:color w:val="000000"/>
        <w:sz w:val="18"/>
        <w:szCs w:val="18"/>
      </w:rPr>
      <w:t xml:space="preserve"> oleh Universitas Khairun.</w:t>
    </w:r>
    <w:r>
      <w:rPr>
        <w:noProof/>
      </w:rPr>
      <w:drawing>
        <wp:anchor distT="0" distB="0" distL="114300" distR="114300" simplePos="0" relativeHeight="251668480" behindDoc="0" locked="0" layoutInCell="1" hidden="0" allowOverlap="1" wp14:anchorId="3F91B4AF" wp14:editId="53CD826D">
          <wp:simplePos x="0" y="0"/>
          <wp:positionH relativeFrom="column">
            <wp:posOffset>-3808</wp:posOffset>
          </wp:positionH>
          <wp:positionV relativeFrom="paragraph">
            <wp:posOffset>42545</wp:posOffset>
          </wp:positionV>
          <wp:extent cx="589915" cy="206375"/>
          <wp:effectExtent l="0" t="0" r="0" b="0"/>
          <wp:wrapSquare wrapText="bothSides" distT="0" distB="0" distL="114300" distR="114300"/>
          <wp:docPr id="1175" name="image3.png" descr="C:\Users\HP\AppData\Local\Microsoft\Windows\INetCache\Content.MSO\3FC393C3.tmp"/>
          <wp:cNvGraphicFramePr/>
          <a:graphic xmlns:a="http://schemas.openxmlformats.org/drawingml/2006/main">
            <a:graphicData uri="http://schemas.openxmlformats.org/drawingml/2006/picture">
              <pic:pic xmlns:pic="http://schemas.openxmlformats.org/drawingml/2006/picture">
                <pic:nvPicPr>
                  <pic:cNvPr id="0" name="image3.png" descr="C:\Users\HP\AppData\Local\Microsoft\Windows\INetCache\Content.MSO\3FC393C3.tmp"/>
                  <pic:cNvPicPr preferRelativeResize="0"/>
                </pic:nvPicPr>
                <pic:blipFill>
                  <a:blip r:embed="rId2"/>
                  <a:srcRect/>
                  <a:stretch>
                    <a:fillRect/>
                  </a:stretch>
                </pic:blipFill>
                <pic:spPr>
                  <a:xfrm>
                    <a:off x="0" y="0"/>
                    <a:ext cx="589915" cy="2063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E0936" w14:textId="77777777" w:rsidR="001A5812" w:rsidRDefault="001A5812">
      <w:r>
        <w:separator/>
      </w:r>
    </w:p>
  </w:footnote>
  <w:footnote w:type="continuationSeparator" w:id="0">
    <w:p w14:paraId="1BC9D712" w14:textId="77777777" w:rsidR="001A5812" w:rsidRDefault="001A5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5C7F" w14:textId="7E87B8EF" w:rsidR="002E7F0C" w:rsidRDefault="00000000">
    <w:pPr>
      <w:pBdr>
        <w:top w:val="nil"/>
        <w:left w:val="nil"/>
        <w:bottom w:val="nil"/>
        <w:right w:val="nil"/>
        <w:between w:val="nil"/>
      </w:pBdr>
      <w:jc w:val="right"/>
      <w:rPr>
        <w:color w:val="000000"/>
        <w:sz w:val="20"/>
        <w:szCs w:val="20"/>
      </w:rPr>
    </w:pPr>
    <w:r>
      <w:rPr>
        <w:color w:val="000000"/>
      </w:rPr>
      <w:t xml:space="preserve"> |  </w:t>
    </w:r>
    <w:r>
      <w:rPr>
        <w:color w:val="000000"/>
        <w:sz w:val="20"/>
        <w:szCs w:val="20"/>
      </w:rPr>
      <w:fldChar w:fldCharType="begin"/>
    </w:r>
    <w:r>
      <w:rPr>
        <w:color w:val="000000"/>
        <w:sz w:val="20"/>
        <w:szCs w:val="20"/>
      </w:rPr>
      <w:instrText>PAGE</w:instrText>
    </w:r>
    <w:r>
      <w:rPr>
        <w:color w:val="000000"/>
        <w:sz w:val="20"/>
        <w:szCs w:val="20"/>
      </w:rPr>
      <w:fldChar w:fldCharType="separate"/>
    </w:r>
    <w:r w:rsidR="00A20787">
      <w:rPr>
        <w:noProof/>
        <w:color w:val="000000"/>
        <w:sz w:val="20"/>
        <w:szCs w:val="20"/>
      </w:rPr>
      <w:t>32</w:t>
    </w:r>
    <w:r>
      <w:rPr>
        <w:color w:val="000000"/>
        <w:sz w:val="20"/>
        <w:szCs w:val="20"/>
      </w:rPr>
      <w:fldChar w:fldCharType="end"/>
    </w:r>
    <w:r>
      <w:rPr>
        <w:noProof/>
      </w:rPr>
      <mc:AlternateContent>
        <mc:Choice Requires="wpg">
          <w:drawing>
            <wp:anchor distT="0" distB="0" distL="114300" distR="114300" simplePos="0" relativeHeight="251664384" behindDoc="0" locked="0" layoutInCell="1" hidden="0" allowOverlap="1" wp14:anchorId="201109FF" wp14:editId="48B94F08">
              <wp:simplePos x="0" y="0"/>
              <wp:positionH relativeFrom="column">
                <wp:posOffset>-97152</wp:posOffset>
              </wp:positionH>
              <wp:positionV relativeFrom="paragraph">
                <wp:posOffset>-28571</wp:posOffset>
              </wp:positionV>
              <wp:extent cx="933450" cy="266700"/>
              <wp:effectExtent l="0" t="0" r="0" b="0"/>
              <wp:wrapNone/>
              <wp:docPr id="1166" name="Rectangle 1166"/>
              <wp:cNvGraphicFramePr/>
              <a:graphic xmlns:a="http://schemas.openxmlformats.org/drawingml/2006/main">
                <a:graphicData uri="http://schemas.microsoft.com/office/word/2010/wordprocessingShape">
                  <wps:wsp>
                    <wps:cNvSpPr/>
                    <wps:spPr>
                      <a:xfrm>
                        <a:off x="4888800" y="3656175"/>
                        <a:ext cx="914400" cy="247650"/>
                      </a:xfrm>
                      <a:prstGeom prst="rect">
                        <a:avLst/>
                      </a:prstGeom>
                      <a:noFill/>
                      <a:ln>
                        <a:noFill/>
                      </a:ln>
                    </wps:spPr>
                    <wps:txbx>
                      <w:txbxContent>
                        <w:p w14:paraId="3779DB3F" w14:textId="77777777" w:rsidR="002E7F0C" w:rsidRDefault="00000000">
                          <w:pPr>
                            <w:textDirection w:val="btLr"/>
                          </w:pPr>
                          <w:r>
                            <w:rPr>
                              <w:i/>
                              <w:color w:val="FF0000"/>
                              <w:sz w:val="18"/>
                            </w:rPr>
                            <w:t>(</w:t>
                          </w:r>
                          <w:proofErr w:type="spellStart"/>
                          <w:r>
                            <w:rPr>
                              <w:i/>
                              <w:color w:val="FF0000"/>
                              <w:sz w:val="18"/>
                            </w:rPr>
                            <w:t>Jangan</w:t>
                          </w:r>
                          <w:proofErr w:type="spellEnd"/>
                          <w:r>
                            <w:rPr>
                              <w:i/>
                              <w:color w:val="FF0000"/>
                              <w:sz w:val="18"/>
                            </w:rPr>
                            <w:t xml:space="preserve"> </w:t>
                          </w:r>
                          <w:proofErr w:type="spellStart"/>
                          <w:r>
                            <w:rPr>
                              <w:i/>
                              <w:color w:val="FF0000"/>
                              <w:sz w:val="18"/>
                            </w:rPr>
                            <w:t>mengedit</w:t>
                          </w:r>
                          <w:proofErr w:type="spellEnd"/>
                          <w:r>
                            <w:rPr>
                              <w:i/>
                              <w:color w:val="FF0000"/>
                              <w:sz w:val="18"/>
                            </w:rPr>
                            <w:t xml:space="preserve"> Header &amp; Footer)</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-97152</wp:posOffset>
              </wp:positionH>
              <wp:positionV relativeFrom="paragraph">
                <wp:posOffset>-28571</wp:posOffset>
              </wp:positionV>
              <wp:extent cx="933450" cy="266700"/>
              <wp:effectExtent b="0" l="0" r="0" t="0"/>
              <wp:wrapNone/>
              <wp:docPr id="116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933450" cy="266700"/>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0819C61E" wp14:editId="5FD22910">
              <wp:simplePos x="0" y="0"/>
              <wp:positionH relativeFrom="column">
                <wp:posOffset>311736</wp:posOffset>
              </wp:positionH>
              <wp:positionV relativeFrom="paragraph">
                <wp:posOffset>-42542</wp:posOffset>
              </wp:positionV>
              <wp:extent cx="5111555" cy="262970"/>
              <wp:effectExtent l="0" t="0" r="0" b="0"/>
              <wp:wrapNone/>
              <wp:docPr id="1156" name="Rectangle 1156"/>
              <wp:cNvGraphicFramePr/>
              <a:graphic xmlns:a="http://schemas.openxmlformats.org/drawingml/2006/main">
                <a:graphicData uri="http://schemas.microsoft.com/office/word/2010/wordprocessingShape">
                  <wps:wsp>
                    <wps:cNvSpPr/>
                    <wps:spPr>
                      <a:xfrm>
                        <a:off x="2799748" y="3658040"/>
                        <a:ext cx="5092505" cy="243920"/>
                      </a:xfrm>
                      <a:prstGeom prst="rect">
                        <a:avLst/>
                      </a:prstGeom>
                      <a:noFill/>
                      <a:ln>
                        <a:noFill/>
                      </a:ln>
                    </wps:spPr>
                    <wps:txbx>
                      <w:txbxContent>
                        <w:p w14:paraId="2C4E9E19" w14:textId="77777777" w:rsidR="002E7F0C" w:rsidRDefault="00000000">
                          <w:pPr>
                            <w:jc w:val="center"/>
                            <w:textDirection w:val="btLr"/>
                          </w:pPr>
                          <w:r>
                            <w:rPr>
                              <w:color w:val="000000"/>
                              <w:sz w:val="20"/>
                            </w:rPr>
                            <w:t>SAINTIFIK@ 9 (1) (2024) 31-36</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311736</wp:posOffset>
              </wp:positionH>
              <wp:positionV relativeFrom="paragraph">
                <wp:posOffset>-42542</wp:posOffset>
              </wp:positionV>
              <wp:extent cx="5111555" cy="262970"/>
              <wp:effectExtent b="0" l="0" r="0" t="0"/>
              <wp:wrapNone/>
              <wp:docPr id="115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111555" cy="262970"/>
                      </a:xfrm>
                      <a:prstGeom prst="rect"/>
                      <a:ln/>
                    </pic:spPr>
                  </pic:pic>
                </a:graphicData>
              </a:graphic>
            </wp:anchor>
          </w:drawing>
        </mc:Fallback>
      </mc:AlternateContent>
    </w:r>
  </w:p>
  <w:p w14:paraId="3EEC4270" w14:textId="77777777" w:rsidR="002E7F0C" w:rsidRDefault="00000000">
    <w:pPr>
      <w:pBdr>
        <w:top w:val="nil"/>
        <w:left w:val="nil"/>
        <w:bottom w:val="nil"/>
        <w:right w:val="nil"/>
        <w:between w:val="nil"/>
      </w:pBdr>
      <w:tabs>
        <w:tab w:val="center" w:pos="4394"/>
        <w:tab w:val="right" w:pos="8647"/>
      </w:tabs>
      <w:ind w:right="-2" w:hanging="2"/>
      <w:jc w:val="center"/>
      <w:rPr>
        <w:color w:val="FF0000"/>
        <w:sz w:val="16"/>
        <w:szCs w:val="16"/>
      </w:rPr>
    </w:pPr>
    <w:r>
      <w:rPr>
        <w:noProof/>
      </w:rPr>
      <mc:AlternateContent>
        <mc:Choice Requires="wps">
          <w:drawing>
            <wp:anchor distT="0" distB="0" distL="114300" distR="114300" simplePos="0" relativeHeight="251666432" behindDoc="0" locked="0" layoutInCell="1" hidden="0" allowOverlap="1" wp14:anchorId="1C7E458C" wp14:editId="333ED391">
              <wp:simplePos x="0" y="0"/>
              <wp:positionH relativeFrom="column">
                <wp:posOffset>-6446</wp:posOffset>
              </wp:positionH>
              <wp:positionV relativeFrom="paragraph">
                <wp:posOffset>18268</wp:posOffset>
              </wp:positionV>
              <wp:extent cx="0" cy="12700"/>
              <wp:effectExtent l="0" t="0" r="0" b="0"/>
              <wp:wrapNone/>
              <wp:docPr id="1161" name="Straight Arrow Connector 1161"/>
              <wp:cNvGraphicFramePr/>
              <a:graphic xmlns:a="http://schemas.openxmlformats.org/drawingml/2006/main">
                <a:graphicData uri="http://schemas.microsoft.com/office/word/2010/wordprocessingShape">
                  <wps:wsp>
                    <wps:cNvCnPr/>
                    <wps:spPr>
                      <a:xfrm>
                        <a:off x="2472918" y="3780000"/>
                        <a:ext cx="5746164" cy="0"/>
                      </a:xfrm>
                      <a:prstGeom prst="straightConnector1">
                        <a:avLst/>
                      </a:prstGeom>
                      <a:noFill/>
                      <a:ln w="9525" cap="flat" cmpd="sng">
                        <a:solidFill>
                          <a:srgbClr val="7F7F7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-6446</wp:posOffset>
              </wp:positionH>
              <wp:positionV relativeFrom="paragraph">
                <wp:posOffset>18268</wp:posOffset>
              </wp:positionV>
              <wp:extent cx="0" cy="12700"/>
              <wp:effectExtent b="0" l="0" r="0" t="0"/>
              <wp:wrapNone/>
              <wp:docPr id="1161"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eading=h.q9hwa17bflze" w:colFirst="0" w:colLast="0"/>
  <w:bookmarkEnd w:id="1"/>
  <w:p w14:paraId="6C19A500" w14:textId="37CEB444" w:rsidR="002E7F0C" w:rsidRDefault="00000000">
    <w:pPr>
      <w:pBdr>
        <w:top w:val="nil"/>
        <w:left w:val="nil"/>
        <w:bottom w:val="nil"/>
        <w:right w:val="nil"/>
        <w:between w:val="nil"/>
      </w:pBd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A20787">
      <w:rPr>
        <w:noProof/>
        <w:color w:val="000000"/>
        <w:sz w:val="20"/>
        <w:szCs w:val="20"/>
      </w:rPr>
      <w:t>33</w:t>
    </w:r>
    <w:r>
      <w:rPr>
        <w:color w:val="000000"/>
        <w:sz w:val="20"/>
        <w:szCs w:val="20"/>
      </w:rPr>
      <w:fldChar w:fldCharType="end"/>
    </w:r>
    <w:r>
      <w:rPr>
        <w:color w:val="000000"/>
        <w:sz w:val="20"/>
        <w:szCs w:val="20"/>
      </w:rPr>
      <w:t xml:space="preserve"> </w:t>
    </w:r>
    <w:r>
      <w:rPr>
        <w:color w:val="000000"/>
      </w:rPr>
      <w:t xml:space="preserve"> |</w:t>
    </w:r>
    <w:r>
      <w:rPr>
        <w:noProof/>
      </w:rPr>
      <mc:AlternateContent>
        <mc:Choice Requires="wpg">
          <w:drawing>
            <wp:anchor distT="0" distB="0" distL="114300" distR="114300" simplePos="0" relativeHeight="251658240" behindDoc="0" locked="0" layoutInCell="1" hidden="0" allowOverlap="1" wp14:anchorId="0C473500" wp14:editId="22C8F3E1">
              <wp:simplePos x="0" y="0"/>
              <wp:positionH relativeFrom="column">
                <wp:posOffset>355600</wp:posOffset>
              </wp:positionH>
              <wp:positionV relativeFrom="paragraph">
                <wp:posOffset>-42493</wp:posOffset>
              </wp:positionV>
              <wp:extent cx="5055284" cy="279303"/>
              <wp:effectExtent l="0" t="0" r="0" b="0"/>
              <wp:wrapNone/>
              <wp:docPr id="1165" name="Rectangle 1165"/>
              <wp:cNvGraphicFramePr/>
              <a:graphic xmlns:a="http://schemas.openxmlformats.org/drawingml/2006/main">
                <a:graphicData uri="http://schemas.microsoft.com/office/word/2010/wordprocessingShape">
                  <wps:wsp>
                    <wps:cNvSpPr/>
                    <wps:spPr>
                      <a:xfrm>
                        <a:off x="2827883" y="3649874"/>
                        <a:ext cx="5036234" cy="260253"/>
                      </a:xfrm>
                      <a:prstGeom prst="rect">
                        <a:avLst/>
                      </a:prstGeom>
                      <a:noFill/>
                      <a:ln>
                        <a:noFill/>
                      </a:ln>
                    </wps:spPr>
                    <wps:txbx>
                      <w:txbxContent>
                        <w:p w14:paraId="0E117C2C" w14:textId="77777777" w:rsidR="002E7F0C" w:rsidRDefault="00000000">
                          <w:pPr>
                            <w:jc w:val="center"/>
                            <w:textDirection w:val="btLr"/>
                          </w:pPr>
                          <w:r>
                            <w:rPr>
                              <w:color w:val="000000"/>
                              <w:sz w:val="20"/>
                            </w:rPr>
                            <w:t>SAINTIFIK@ 9 (1) (2024) 31-36</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355600</wp:posOffset>
              </wp:positionH>
              <wp:positionV relativeFrom="paragraph">
                <wp:posOffset>-42493</wp:posOffset>
              </wp:positionV>
              <wp:extent cx="5055284" cy="279303"/>
              <wp:effectExtent b="0" l="0" r="0" t="0"/>
              <wp:wrapNone/>
              <wp:docPr id="116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5055284" cy="279303"/>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240BF08" wp14:editId="58ED4389">
              <wp:simplePos x="0" y="0"/>
              <wp:positionH relativeFrom="column">
                <wp:posOffset>3851275</wp:posOffset>
              </wp:positionH>
              <wp:positionV relativeFrom="paragraph">
                <wp:posOffset>-29842</wp:posOffset>
              </wp:positionV>
              <wp:extent cx="933450" cy="266700"/>
              <wp:effectExtent l="0" t="0" r="0" b="0"/>
              <wp:wrapNone/>
              <wp:docPr id="1164" name="Rectangle 1164"/>
              <wp:cNvGraphicFramePr/>
              <a:graphic xmlns:a="http://schemas.openxmlformats.org/drawingml/2006/main">
                <a:graphicData uri="http://schemas.microsoft.com/office/word/2010/wordprocessingShape">
                  <wps:wsp>
                    <wps:cNvSpPr/>
                    <wps:spPr>
                      <a:xfrm>
                        <a:off x="4888800" y="3656175"/>
                        <a:ext cx="914400" cy="247650"/>
                      </a:xfrm>
                      <a:prstGeom prst="rect">
                        <a:avLst/>
                      </a:prstGeom>
                      <a:noFill/>
                      <a:ln>
                        <a:noFill/>
                      </a:ln>
                    </wps:spPr>
                    <wps:txbx>
                      <w:txbxContent>
                        <w:p w14:paraId="47AB6E7A" w14:textId="77777777" w:rsidR="002E7F0C" w:rsidRDefault="00000000">
                          <w:pPr>
                            <w:textDirection w:val="btLr"/>
                          </w:pPr>
                          <w:r>
                            <w:rPr>
                              <w:i/>
                              <w:color w:val="FF0000"/>
                              <w:sz w:val="18"/>
                            </w:rPr>
                            <w:t>(</w:t>
                          </w:r>
                          <w:proofErr w:type="spellStart"/>
                          <w:r>
                            <w:rPr>
                              <w:i/>
                              <w:color w:val="FF0000"/>
                              <w:sz w:val="18"/>
                            </w:rPr>
                            <w:t>Jangan</w:t>
                          </w:r>
                          <w:proofErr w:type="spellEnd"/>
                          <w:r>
                            <w:rPr>
                              <w:i/>
                              <w:color w:val="FF0000"/>
                              <w:sz w:val="18"/>
                            </w:rPr>
                            <w:t xml:space="preserve"> </w:t>
                          </w:r>
                          <w:proofErr w:type="spellStart"/>
                          <w:r>
                            <w:rPr>
                              <w:i/>
                              <w:color w:val="FF0000"/>
                              <w:sz w:val="18"/>
                            </w:rPr>
                            <w:t>mengedit</w:t>
                          </w:r>
                          <w:proofErr w:type="spellEnd"/>
                          <w:r>
                            <w:rPr>
                              <w:i/>
                              <w:color w:val="FF0000"/>
                              <w:sz w:val="18"/>
                            </w:rPr>
                            <w:t xml:space="preserve"> Header &amp; Footer)</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3851275</wp:posOffset>
              </wp:positionH>
              <wp:positionV relativeFrom="paragraph">
                <wp:posOffset>-29842</wp:posOffset>
              </wp:positionV>
              <wp:extent cx="933450" cy="266700"/>
              <wp:effectExtent b="0" l="0" r="0" t="0"/>
              <wp:wrapNone/>
              <wp:docPr id="1164"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933450" cy="266700"/>
                      </a:xfrm>
                      <a:prstGeom prst="rect"/>
                      <a:ln/>
                    </pic:spPr>
                  </pic:pic>
                </a:graphicData>
              </a:graphic>
            </wp:anchor>
          </w:drawing>
        </mc:Fallback>
      </mc:AlternateContent>
    </w:r>
  </w:p>
  <w:p w14:paraId="2EDBD242" w14:textId="77777777" w:rsidR="002E7F0C" w:rsidRDefault="00000000">
    <w:pPr>
      <w:pBdr>
        <w:top w:val="nil"/>
        <w:left w:val="nil"/>
        <w:bottom w:val="nil"/>
        <w:right w:val="nil"/>
        <w:between w:val="nil"/>
      </w:pBdr>
      <w:rPr>
        <w:color w:val="000000"/>
      </w:rPr>
    </w:pPr>
    <w:r>
      <w:rPr>
        <w:noProof/>
      </w:rPr>
      <mc:AlternateContent>
        <mc:Choice Requires="wps">
          <w:drawing>
            <wp:anchor distT="0" distB="0" distL="114300" distR="114300" simplePos="0" relativeHeight="251660288" behindDoc="0" locked="0" layoutInCell="1" hidden="0" allowOverlap="1" wp14:anchorId="2144D05D" wp14:editId="67FA4158">
              <wp:simplePos x="0" y="0"/>
              <wp:positionH relativeFrom="column">
                <wp:posOffset>-6348</wp:posOffset>
              </wp:positionH>
              <wp:positionV relativeFrom="paragraph">
                <wp:posOffset>20369</wp:posOffset>
              </wp:positionV>
              <wp:extent cx="0" cy="12700"/>
              <wp:effectExtent l="0" t="0" r="0" b="0"/>
              <wp:wrapNone/>
              <wp:docPr id="1158" name="Straight Arrow Connector 1158"/>
              <wp:cNvGraphicFramePr/>
              <a:graphic xmlns:a="http://schemas.openxmlformats.org/drawingml/2006/main">
                <a:graphicData uri="http://schemas.microsoft.com/office/word/2010/wordprocessingShape">
                  <wps:wsp>
                    <wps:cNvCnPr/>
                    <wps:spPr>
                      <a:xfrm>
                        <a:off x="2476435" y="3780000"/>
                        <a:ext cx="5739130" cy="0"/>
                      </a:xfrm>
                      <a:prstGeom prst="straightConnector1">
                        <a:avLst/>
                      </a:prstGeom>
                      <a:noFill/>
                      <a:ln w="9525" cap="flat" cmpd="sng">
                        <a:solidFill>
                          <a:srgbClr val="7F7F7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-6348</wp:posOffset>
              </wp:positionH>
              <wp:positionV relativeFrom="paragraph">
                <wp:posOffset>20369</wp:posOffset>
              </wp:positionV>
              <wp:extent cx="0" cy="12700"/>
              <wp:effectExtent b="0" l="0" r="0" t="0"/>
              <wp:wrapNone/>
              <wp:docPr id="115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D5A4" w14:textId="77777777" w:rsidR="002E7F0C" w:rsidRDefault="00000000">
    <w:pPr>
      <w:widowControl w:val="0"/>
      <w:pBdr>
        <w:top w:val="nil"/>
        <w:left w:val="nil"/>
        <w:bottom w:val="nil"/>
        <w:right w:val="nil"/>
        <w:between w:val="nil"/>
      </w:pBdr>
      <w:spacing w:line="276" w:lineRule="auto"/>
    </w:pPr>
    <w:r>
      <w:rPr>
        <w:noProof/>
      </w:rPr>
      <w:drawing>
        <wp:inline distT="0" distB="0" distL="0" distR="0" wp14:anchorId="6345C071" wp14:editId="05F496D5">
          <wp:extent cx="842486" cy="810894"/>
          <wp:effectExtent l="0" t="0" r="0" b="0"/>
          <wp:docPr id="11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42486" cy="810894"/>
                  </a:xfrm>
                  <a:prstGeom prst="rect">
                    <a:avLst/>
                  </a:prstGeom>
                  <a:ln/>
                </pic:spPr>
              </pic:pic>
            </a:graphicData>
          </a:graphic>
        </wp:inline>
      </w:drawing>
    </w:r>
    <w:r>
      <w:t xml:space="preserve">   </w:t>
    </w:r>
    <w:r>
      <w:rPr>
        <w:noProof/>
      </w:rPr>
      <mc:AlternateContent>
        <mc:Choice Requires="wpg">
          <w:drawing>
            <wp:inline distT="0" distB="0" distL="0" distR="0" wp14:anchorId="134B0C73" wp14:editId="41294B8E">
              <wp:extent cx="3867633" cy="823932"/>
              <wp:effectExtent l="0" t="0" r="0" b="0"/>
              <wp:docPr id="1155" name="Rectangle 1155"/>
              <wp:cNvGraphicFramePr/>
              <a:graphic xmlns:a="http://schemas.openxmlformats.org/drawingml/2006/main">
                <a:graphicData uri="http://schemas.microsoft.com/office/word/2010/wordprocessingShape">
                  <wps:wsp>
                    <wps:cNvSpPr/>
                    <wps:spPr>
                      <a:xfrm>
                        <a:off x="3421709" y="3377559"/>
                        <a:ext cx="3848583" cy="804882"/>
                      </a:xfrm>
                      <a:prstGeom prst="rect">
                        <a:avLst/>
                      </a:prstGeom>
                      <a:solidFill>
                        <a:srgbClr val="F2DADA"/>
                      </a:solidFill>
                      <a:ln>
                        <a:noFill/>
                      </a:ln>
                    </wps:spPr>
                    <wps:txbx>
                      <w:txbxContent>
                        <w:p w14:paraId="7D09C561" w14:textId="77777777" w:rsidR="002E7F0C" w:rsidRDefault="002E7F0C">
                          <w:pPr>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3867633" cy="823932"/>
              <wp:effectExtent b="0" l="0" r="0" t="0"/>
              <wp:docPr id="1155"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3867633" cy="823932"/>
                      </a:xfrm>
                      <a:prstGeom prst="rect"/>
                      <a:ln/>
                    </pic:spPr>
                  </pic:pic>
                </a:graphicData>
              </a:graphic>
            </wp:inline>
          </w:drawing>
        </mc:Fallback>
      </mc:AlternateContent>
    </w:r>
    <w:r>
      <w:t xml:space="preserve">   </w:t>
    </w:r>
    <w:r>
      <w:rPr>
        <w:noProof/>
      </w:rPr>
      <w:drawing>
        <wp:inline distT="0" distB="0" distL="0" distR="0" wp14:anchorId="68444DC4" wp14:editId="1F684779">
          <wp:extent cx="820237" cy="835970"/>
          <wp:effectExtent l="0" t="0" r="0" b="0"/>
          <wp:docPr id="117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a:stretch>
                    <a:fillRect/>
                  </a:stretch>
                </pic:blipFill>
                <pic:spPr>
                  <a:xfrm>
                    <a:off x="0" y="0"/>
                    <a:ext cx="820237" cy="835970"/>
                  </a:xfrm>
                  <a:prstGeom prst="rect">
                    <a:avLst/>
                  </a:prstGeom>
                  <a:ln/>
                </pic:spPr>
              </pic:pic>
            </a:graphicData>
          </a:graphic>
        </wp:inline>
      </w:drawing>
    </w:r>
    <w:r>
      <w:rPr>
        <w:noProof/>
      </w:rPr>
      <mc:AlternateContent>
        <mc:Choice Requires="wps">
          <w:drawing>
            <wp:anchor distT="0" distB="0" distL="114300" distR="114300" simplePos="0" relativeHeight="251661312" behindDoc="0" locked="0" layoutInCell="1" hidden="0" allowOverlap="1" wp14:anchorId="7E8ABCAD" wp14:editId="2B75433E">
              <wp:simplePos x="0" y="0"/>
              <wp:positionH relativeFrom="column">
                <wp:posOffset>-17778</wp:posOffset>
              </wp:positionH>
              <wp:positionV relativeFrom="paragraph">
                <wp:posOffset>-78810</wp:posOffset>
              </wp:positionV>
              <wp:extent cx="0" cy="38100"/>
              <wp:effectExtent l="0" t="0" r="0" b="0"/>
              <wp:wrapNone/>
              <wp:docPr id="1160" name="Straight Arrow Connector 1160"/>
              <wp:cNvGraphicFramePr/>
              <a:graphic xmlns:a="http://schemas.openxmlformats.org/drawingml/2006/main">
                <a:graphicData uri="http://schemas.microsoft.com/office/word/2010/wordprocessingShape">
                  <wps:wsp>
                    <wps:cNvCnPr/>
                    <wps:spPr>
                      <a:xfrm>
                        <a:off x="2472625" y="3780000"/>
                        <a:ext cx="5746750" cy="0"/>
                      </a:xfrm>
                      <a:prstGeom prst="straightConnector1">
                        <a:avLst/>
                      </a:prstGeom>
                      <a:noFill/>
                      <a:ln w="38100" cap="flat" cmpd="dbl">
                        <a:solidFill>
                          <a:srgbClr val="A5002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-17778</wp:posOffset>
              </wp:positionH>
              <wp:positionV relativeFrom="paragraph">
                <wp:posOffset>-78810</wp:posOffset>
              </wp:positionV>
              <wp:extent cx="0" cy="38100"/>
              <wp:effectExtent b="0" l="0" r="0" t="0"/>
              <wp:wrapNone/>
              <wp:docPr id="1160" name="image13.png"/>
              <a:graphic>
                <a:graphicData uri="http://schemas.openxmlformats.org/drawingml/2006/picture">
                  <pic:pic>
                    <pic:nvPicPr>
                      <pic:cNvPr id="0" name="image13.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4CA167E1" wp14:editId="671B1214">
              <wp:simplePos x="0" y="0"/>
              <wp:positionH relativeFrom="column">
                <wp:posOffset>941994</wp:posOffset>
              </wp:positionH>
              <wp:positionV relativeFrom="paragraph">
                <wp:posOffset>51298</wp:posOffset>
              </wp:positionV>
              <wp:extent cx="3867150" cy="701740"/>
              <wp:effectExtent l="0" t="0" r="0" b="0"/>
              <wp:wrapNone/>
              <wp:docPr id="1159" name="Rectangle 1159"/>
              <wp:cNvGraphicFramePr/>
              <a:graphic xmlns:a="http://schemas.openxmlformats.org/drawingml/2006/main">
                <a:graphicData uri="http://schemas.microsoft.com/office/word/2010/wordprocessingShape">
                  <wps:wsp>
                    <wps:cNvSpPr/>
                    <wps:spPr>
                      <a:xfrm>
                        <a:off x="3421950" y="3438655"/>
                        <a:ext cx="3848100" cy="682690"/>
                      </a:xfrm>
                      <a:prstGeom prst="rect">
                        <a:avLst/>
                      </a:prstGeom>
                      <a:noFill/>
                      <a:ln>
                        <a:noFill/>
                      </a:ln>
                    </wps:spPr>
                    <wps:txbx>
                      <w:txbxContent>
                        <w:p w14:paraId="6AA4FACC" w14:textId="77777777" w:rsidR="002E7F0C" w:rsidRDefault="00000000">
                          <w:pPr>
                            <w:spacing w:line="360" w:lineRule="auto"/>
                            <w:ind w:left="1" w:firstLine="1"/>
                            <w:jc w:val="center"/>
                            <w:textDirection w:val="btLr"/>
                          </w:pPr>
                          <w:r>
                            <w:rPr>
                              <w:b/>
                              <w:color w:val="000000"/>
                            </w:rPr>
                            <w:t>SAINTIFIK@: JURNAL PENDIDIKAN MIPA</w:t>
                          </w:r>
                        </w:p>
                        <w:p w14:paraId="56364271" w14:textId="77777777" w:rsidR="002E7F0C" w:rsidRDefault="00000000">
                          <w:pPr>
                            <w:spacing w:line="360" w:lineRule="auto"/>
                            <w:ind w:left="1" w:firstLine="1"/>
                            <w:jc w:val="center"/>
                            <w:textDirection w:val="btLr"/>
                          </w:pPr>
                          <w:r>
                            <w:rPr>
                              <w:color w:val="000000"/>
                              <w:sz w:val="18"/>
                            </w:rPr>
                            <w:t>E-ISSN: 2598-</w:t>
                          </w:r>
                          <w:proofErr w:type="gramStart"/>
                          <w:r>
                            <w:rPr>
                              <w:color w:val="000000"/>
                              <w:sz w:val="18"/>
                            </w:rPr>
                            <w:t>3822  |</w:t>
                          </w:r>
                          <w:proofErr w:type="gramEnd"/>
                          <w:r>
                            <w:rPr>
                              <w:color w:val="000000"/>
                              <w:sz w:val="18"/>
                            </w:rPr>
                            <w:t xml:space="preserve">  P-ISSN: 2087-3816</w:t>
                          </w:r>
                        </w:p>
                        <w:p w14:paraId="7A9FDD30" w14:textId="77777777" w:rsidR="002E7F0C" w:rsidRDefault="00000000">
                          <w:pPr>
                            <w:spacing w:after="240" w:line="360" w:lineRule="auto"/>
                            <w:ind w:hanging="2"/>
                            <w:jc w:val="center"/>
                            <w:textDirection w:val="btLr"/>
                          </w:pPr>
                          <w:r>
                            <w:rPr>
                              <w:i/>
                              <w:color w:val="000000"/>
                              <w:sz w:val="18"/>
                            </w:rPr>
                            <w:t xml:space="preserve">Available online at </w:t>
                          </w:r>
                          <w:r>
                            <w:rPr>
                              <w:i/>
                              <w:color w:val="0000FF"/>
                              <w:sz w:val="18"/>
                            </w:rPr>
                            <w:t>https://ejournal.unkhair.ac.id/Saintifik</w:t>
                          </w:r>
                        </w:p>
                        <w:p w14:paraId="61F5691B" w14:textId="77777777" w:rsidR="002E7F0C" w:rsidRDefault="002E7F0C">
                          <w:pPr>
                            <w:spacing w:line="360" w:lineRule="auto"/>
                            <w:ind w:left="1" w:firstLine="1"/>
                            <w:jc w:val="center"/>
                            <w:textDirection w:val="btLr"/>
                          </w:pPr>
                        </w:p>
                        <w:p w14:paraId="1ECE1597" w14:textId="77777777" w:rsidR="002E7F0C" w:rsidRDefault="002E7F0C">
                          <w:pPr>
                            <w:spacing w:line="360" w:lineRule="auto"/>
                            <w:ind w:hanging="2"/>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941994</wp:posOffset>
              </wp:positionH>
              <wp:positionV relativeFrom="paragraph">
                <wp:posOffset>51298</wp:posOffset>
              </wp:positionV>
              <wp:extent cx="3867150" cy="701740"/>
              <wp:effectExtent b="0" l="0" r="0" t="0"/>
              <wp:wrapNone/>
              <wp:docPr id="1159"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3867150" cy="701740"/>
                      </a:xfrm>
                      <a:prstGeom prst="rect"/>
                      <a:ln/>
                    </pic:spPr>
                  </pic:pic>
                </a:graphicData>
              </a:graphic>
            </wp:anchor>
          </w:drawing>
        </mc:Fallback>
      </mc:AlternateContent>
    </w:r>
  </w:p>
  <w:p w14:paraId="3B2BE4E5" w14:textId="77777777" w:rsidR="002E7F0C" w:rsidRDefault="00000000">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63360" behindDoc="0" locked="0" layoutInCell="1" hidden="0" allowOverlap="1" wp14:anchorId="14918653" wp14:editId="2DDAD7B3">
              <wp:simplePos x="0" y="0"/>
              <wp:positionH relativeFrom="column">
                <wp:posOffset>-16508</wp:posOffset>
              </wp:positionH>
              <wp:positionV relativeFrom="paragraph">
                <wp:posOffset>15946</wp:posOffset>
              </wp:positionV>
              <wp:extent cx="0" cy="38100"/>
              <wp:effectExtent l="0" t="0" r="0" b="0"/>
              <wp:wrapNone/>
              <wp:docPr id="1157" name="Straight Arrow Connector 1157"/>
              <wp:cNvGraphicFramePr/>
              <a:graphic xmlns:a="http://schemas.openxmlformats.org/drawingml/2006/main">
                <a:graphicData uri="http://schemas.microsoft.com/office/word/2010/wordprocessingShape">
                  <wps:wsp>
                    <wps:cNvCnPr/>
                    <wps:spPr>
                      <a:xfrm>
                        <a:off x="2472625" y="3780000"/>
                        <a:ext cx="5746750" cy="0"/>
                      </a:xfrm>
                      <a:prstGeom prst="straightConnector1">
                        <a:avLst/>
                      </a:prstGeom>
                      <a:noFill/>
                      <a:ln w="38100" cap="flat" cmpd="dbl">
                        <a:solidFill>
                          <a:srgbClr val="A5002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-16508</wp:posOffset>
              </wp:positionH>
              <wp:positionV relativeFrom="paragraph">
                <wp:posOffset>15946</wp:posOffset>
              </wp:positionV>
              <wp:extent cx="0" cy="38100"/>
              <wp:effectExtent b="0" l="0" r="0" t="0"/>
              <wp:wrapNone/>
              <wp:docPr id="1157"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625B"/>
    <w:multiLevelType w:val="multilevel"/>
    <w:tmpl w:val="EF5A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D376EAE"/>
    <w:multiLevelType w:val="multilevel"/>
    <w:tmpl w:val="977854B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5AC63060"/>
    <w:multiLevelType w:val="multilevel"/>
    <w:tmpl w:val="1E0E54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655377272">
    <w:abstractNumId w:val="2"/>
  </w:num>
  <w:num w:numId="2" w16cid:durableId="1782996258">
    <w:abstractNumId w:val="1"/>
  </w:num>
  <w:num w:numId="3" w16cid:durableId="1912278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F0C"/>
    <w:rsid w:val="001A5812"/>
    <w:rsid w:val="002E7F0C"/>
    <w:rsid w:val="00876FBE"/>
    <w:rsid w:val="00A20787"/>
    <w:rsid w:val="00A458C9"/>
    <w:rsid w:val="00CE4165"/>
    <w:rsid w:val="00F955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954E"/>
  <w15:docId w15:val="{75574C09-0CAB-3C41-A0F4-98FABD2D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jc w:val="center"/>
      <w:outlineLvl w:val="0"/>
    </w:pPr>
    <w:rPr>
      <w:b/>
    </w:rPr>
  </w:style>
  <w:style w:type="paragraph" w:styleId="Heading2">
    <w:name w:val="heading 2"/>
    <w:basedOn w:val="Normal"/>
    <w:next w:val="Normal"/>
    <w:uiPriority w:val="9"/>
    <w:semiHidden/>
    <w:unhideWhenUsed/>
    <w:qFormat/>
    <w:pPr>
      <w:keepNext/>
      <w:spacing w:line="360" w:lineRule="auto"/>
      <w:jc w:val="both"/>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rPr>
      <w:rFonts w:ascii="Times New Roman" w:eastAsia="Times New Roman" w:hAnsi="Times New Roman"/>
      <w:b/>
      <w:w w:val="100"/>
      <w:position w:val="-1"/>
      <w:sz w:val="24"/>
      <w:szCs w:val="24"/>
      <w:effect w:val="none"/>
      <w:vertAlign w:val="baseline"/>
      <w:cs w:val="0"/>
      <w:em w:val="none"/>
    </w:rPr>
  </w:style>
  <w:style w:type="character" w:styleId="Hyperlink">
    <w:name w:val="Hyperlink"/>
    <w:rsid w:val="0024385E"/>
    <w:rPr>
      <w:color w:val="0000FF"/>
      <w:w w:val="100"/>
      <w:position w:val="-1"/>
      <w:u w:val="none"/>
      <w:effect w:val="none"/>
      <w:vertAlign w:val="baseline"/>
      <w:cs w:val="0"/>
      <w:em w:val="none"/>
    </w:rPr>
  </w:style>
  <w:style w:type="paragraph" w:styleId="Header">
    <w:name w:val="header"/>
    <w:basedOn w:val="Normal"/>
    <w:uiPriority w:val="99"/>
  </w:style>
  <w:style w:type="character" w:customStyle="1" w:styleId="HeaderChar">
    <w:name w:val="Header Char"/>
    <w:uiPriority w:val="99"/>
    <w:rPr>
      <w:rFonts w:ascii="Times New Roman" w:eastAsia="Times New Roman" w:hAnsi="Times New Roman" w:cs="Times New Roman"/>
      <w:w w:val="100"/>
      <w:position w:val="-1"/>
      <w:sz w:val="24"/>
      <w:szCs w:val="24"/>
      <w:effect w:val="none"/>
      <w:vertAlign w:val="baseline"/>
      <w:cs w:val="0"/>
      <w:em w:val="none"/>
      <w:lang w:val="en-US"/>
    </w:r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paragraph" w:styleId="ListParagraph">
    <w:name w:val="List Paragraph"/>
    <w:basedOn w:val="Normal"/>
    <w:pPr>
      <w:ind w:left="720"/>
      <w:contextualSpacing/>
    </w:pPr>
  </w:style>
  <w:style w:type="paragraph" w:customStyle="1" w:styleId="BodyText1">
    <w:name w:val="Body Text 1"/>
    <w:basedOn w:val="BodyText"/>
    <w:pPr>
      <w:spacing w:after="0"/>
      <w:jc w:val="both"/>
    </w:pPr>
    <w:rPr>
      <w:rFonts w:eastAsia="MS Mincho"/>
      <w:sz w:val="20"/>
      <w:szCs w:val="20"/>
    </w:rPr>
  </w:style>
  <w:style w:type="paragraph" w:styleId="BodyText">
    <w:name w:val="Body Text"/>
    <w:basedOn w:val="Normal"/>
    <w:qFormat/>
    <w:pPr>
      <w:spacing w:after="120"/>
    </w:p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US"/>
    </w:rPr>
  </w:style>
  <w:style w:type="paragraph" w:customStyle="1" w:styleId="Equation">
    <w:name w:val="Equation"/>
    <w:basedOn w:val="BodyText"/>
    <w:pPr>
      <w:spacing w:after="0"/>
      <w:jc w:val="both"/>
    </w:pPr>
    <w:rPr>
      <w:sz w:val="20"/>
      <w:szCs w:val="20"/>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US"/>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BodyTextIndent">
    <w:name w:val="Body Text Indent"/>
    <w:basedOn w:val="Normal"/>
    <w:pPr>
      <w:spacing w:line="360" w:lineRule="auto"/>
      <w:ind w:left="720"/>
      <w:jc w:val="both"/>
    </w:pPr>
    <w:rPr>
      <w:rFonts w:eastAsia="MS Mincho"/>
      <w:lang w:val="en-GB"/>
    </w:rPr>
  </w:style>
  <w:style w:type="character" w:customStyle="1" w:styleId="BodyTextIndentChar">
    <w:name w:val="Body Text Indent Char"/>
    <w:rPr>
      <w:rFonts w:ascii="Times New Roman" w:eastAsia="MS Mincho" w:hAnsi="Times New Roman"/>
      <w:w w:val="100"/>
      <w:position w:val="-1"/>
      <w:sz w:val="24"/>
      <w:szCs w:val="24"/>
      <w:effect w:val="none"/>
      <w:vertAlign w:val="baseline"/>
      <w:cs w:val="0"/>
      <w:em w:val="none"/>
      <w:lang w:val="en-GB"/>
    </w:rPr>
  </w:style>
  <w:style w:type="character" w:customStyle="1" w:styleId="hps">
    <w:name w:val="hps"/>
    <w:basedOn w:val="DefaultParagraphFont"/>
    <w:rPr>
      <w:w w:val="100"/>
      <w:position w:val="-1"/>
      <w:effect w:val="none"/>
      <w:vertAlign w:val="baseline"/>
      <w:cs w:val="0"/>
      <w:em w:val="none"/>
    </w:rPr>
  </w:style>
  <w:style w:type="paragraph" w:styleId="BodyTextIndent2">
    <w:name w:val="Body Text Indent 2"/>
    <w:basedOn w:val="Normal"/>
    <w:qFormat/>
    <w:pPr>
      <w:spacing w:after="240" w:line="360" w:lineRule="auto"/>
      <w:ind w:firstLine="709"/>
      <w:jc w:val="both"/>
    </w:pPr>
  </w:style>
  <w:style w:type="character" w:customStyle="1" w:styleId="BodyTextIndent2Char">
    <w:name w:val="Body Text Indent 2 Char"/>
    <w:rPr>
      <w:rFonts w:ascii="Times New Roman" w:eastAsia="Times New Roman" w:hAnsi="Times New Roman"/>
      <w:w w:val="100"/>
      <w:position w:val="-1"/>
      <w:sz w:val="24"/>
      <w:szCs w:val="24"/>
      <w:effect w:val="none"/>
      <w:vertAlign w:val="baseline"/>
      <w:cs w:val="0"/>
      <w:em w:val="none"/>
      <w:lang w:val="en-US" w:eastAsia="en-US"/>
    </w:rPr>
  </w:style>
  <w:style w:type="character" w:customStyle="1" w:styleId="Heading2Char">
    <w:name w:val="Heading 2 Char"/>
    <w:rPr>
      <w:rFonts w:ascii="Times New Roman" w:eastAsia="Times New Roman" w:hAnsi="Times New Roman"/>
      <w:b/>
      <w:color w:val="000000"/>
      <w:w w:val="100"/>
      <w:position w:val="-1"/>
      <w:sz w:val="24"/>
      <w:szCs w:val="24"/>
      <w:effect w:val="none"/>
      <w:vertAlign w:val="baseline"/>
      <w:cs w:val="0"/>
      <w:em w:val="none"/>
      <w:lang w:val="id-ID"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EndnoteText">
    <w:name w:val="endnote text"/>
    <w:basedOn w:val="Normal"/>
    <w:link w:val="EndnoteTextChar"/>
    <w:uiPriority w:val="99"/>
    <w:semiHidden/>
    <w:unhideWhenUsed/>
    <w:rsid w:val="0024385E"/>
    <w:rPr>
      <w:sz w:val="20"/>
      <w:szCs w:val="20"/>
    </w:rPr>
  </w:style>
  <w:style w:type="character" w:customStyle="1" w:styleId="EndnoteTextChar">
    <w:name w:val="Endnote Text Char"/>
    <w:basedOn w:val="DefaultParagraphFont"/>
    <w:link w:val="EndnoteText"/>
    <w:uiPriority w:val="99"/>
    <w:semiHidden/>
    <w:rsid w:val="0024385E"/>
    <w:rPr>
      <w:position w:val="-1"/>
      <w:sz w:val="20"/>
      <w:szCs w:val="20"/>
      <w:lang w:eastAsia="en-US"/>
    </w:rPr>
  </w:style>
  <w:style w:type="character" w:styleId="EndnoteReference">
    <w:name w:val="endnote reference"/>
    <w:basedOn w:val="DefaultParagraphFont"/>
    <w:uiPriority w:val="99"/>
    <w:semiHidden/>
    <w:unhideWhenUsed/>
    <w:rsid w:val="0024385E"/>
    <w:rPr>
      <w:vertAlign w:val="superscript"/>
    </w:rPr>
  </w:style>
  <w:style w:type="paragraph" w:styleId="FootnoteText">
    <w:name w:val="footnote text"/>
    <w:basedOn w:val="Normal"/>
    <w:link w:val="FootnoteTextChar"/>
    <w:uiPriority w:val="99"/>
    <w:semiHidden/>
    <w:unhideWhenUsed/>
    <w:rsid w:val="0024385E"/>
    <w:rPr>
      <w:sz w:val="20"/>
      <w:szCs w:val="20"/>
    </w:rPr>
  </w:style>
  <w:style w:type="character" w:customStyle="1" w:styleId="FootnoteTextChar">
    <w:name w:val="Footnote Text Char"/>
    <w:basedOn w:val="DefaultParagraphFont"/>
    <w:link w:val="FootnoteText"/>
    <w:uiPriority w:val="99"/>
    <w:semiHidden/>
    <w:rsid w:val="0024385E"/>
    <w:rPr>
      <w:position w:val="-1"/>
      <w:sz w:val="20"/>
      <w:szCs w:val="20"/>
      <w:lang w:eastAsia="en-US"/>
    </w:rPr>
  </w:style>
  <w:style w:type="character" w:styleId="FootnoteReference">
    <w:name w:val="footnote reference"/>
    <w:basedOn w:val="DefaultParagraphFont"/>
    <w:uiPriority w:val="99"/>
    <w:semiHidden/>
    <w:unhideWhenUsed/>
    <w:rsid w:val="0024385E"/>
    <w:rPr>
      <w:vertAlign w:val="superscript"/>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CA7D0D"/>
    <w:rPr>
      <w:color w:val="605E5C"/>
      <w:shd w:val="clear" w:color="auto" w:fill="E1DFDD"/>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PlaceholderText">
    <w:name w:val="Placeholder Text"/>
    <w:basedOn w:val="DefaultParagraphFont"/>
    <w:uiPriority w:val="99"/>
    <w:semiHidden/>
    <w:rsid w:val="00A207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hyperlink" Target="https://creativecommons.org/licenses/by/4.0/deed.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8.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n6N6KOmvrD5jQYydrVuRgVPuag==">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2821</Words>
  <Characters>16082</Characters>
  <Application>Microsoft Office Word</Application>
  <DocSecurity>0</DocSecurity>
  <Lines>134</Lines>
  <Paragraphs>37</Paragraphs>
  <ScaleCrop>false</ScaleCrop>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Andy Hermawan</cp:lastModifiedBy>
  <cp:revision>3</cp:revision>
  <dcterms:created xsi:type="dcterms:W3CDTF">2025-04-17T05:25:00Z</dcterms:created>
  <dcterms:modified xsi:type="dcterms:W3CDTF">2025-10-17T02:58:00Z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6168c02bb9bab5350f0430030fdeae2f62904ba6338e477f3600ef3cd402dece</vt:lpwstr>
  </property>
</Properties>
</file>