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934E" w14:textId="77777777" w:rsidR="00217892" w:rsidRPr="00DE0657" w:rsidRDefault="00217892">
      <w:pPr>
        <w:spacing w:after="0" w:line="240" w:lineRule="auto"/>
        <w:rPr>
          <w:rFonts w:ascii="EB Garamond" w:eastAsia="EB Garamond" w:hAnsi="EB Garamond" w:cs="EB Garamond"/>
          <w:b/>
          <w:sz w:val="30"/>
          <w:szCs w:val="30"/>
        </w:rPr>
      </w:pPr>
      <w:bookmarkStart w:id="0" w:name="_heading=h.30j0zll" w:colFirst="0" w:colLast="0"/>
      <w:bookmarkEnd w:id="0"/>
    </w:p>
    <w:p w14:paraId="67E07A37" w14:textId="77777777" w:rsidR="00F51F81" w:rsidRPr="00F51F81" w:rsidRDefault="00F51F81" w:rsidP="00F51F81">
      <w:pPr>
        <w:spacing w:after="0" w:line="360" w:lineRule="auto"/>
        <w:jc w:val="both"/>
        <w:rPr>
          <w:rFonts w:ascii="Cambria" w:eastAsia="Cambria" w:hAnsi="Cambria" w:cs="Cambria"/>
          <w:b/>
          <w:sz w:val="28"/>
          <w:szCs w:val="28"/>
        </w:rPr>
      </w:pPr>
      <w:r w:rsidRPr="00F51F81">
        <w:rPr>
          <w:rFonts w:ascii="Cambria" w:eastAsia="Cambria" w:hAnsi="Cambria" w:cs="Cambria"/>
          <w:b/>
          <w:bCs/>
          <w:sz w:val="28"/>
          <w:szCs w:val="28"/>
        </w:rPr>
        <w:t>Menggugat Kebahagiaan Titipan: Rekonstruksi Subjective Well-Being Berbasis Child Agency pada Anak Usia Dini</w:t>
      </w:r>
    </w:p>
    <w:p w14:paraId="2BF64AA8" w14:textId="77777777" w:rsidR="00217892" w:rsidRPr="00DE0657" w:rsidRDefault="00217892">
      <w:pPr>
        <w:spacing w:after="0" w:line="360" w:lineRule="auto"/>
        <w:rPr>
          <w:rFonts w:ascii="Garamond" w:eastAsia="Garamond" w:hAnsi="Garamond" w:cs="Garamond"/>
          <w:sz w:val="24"/>
          <w:szCs w:val="24"/>
        </w:rPr>
      </w:pPr>
    </w:p>
    <w:p w14:paraId="229ADEAF" w14:textId="1105126E" w:rsidR="00217892" w:rsidRPr="00DE0657" w:rsidRDefault="00F51F81" w:rsidP="00F51F81">
      <w:pPr>
        <w:spacing w:after="0" w:line="240" w:lineRule="auto"/>
        <w:rPr>
          <w:rFonts w:ascii="Cambria" w:eastAsia="Cambria" w:hAnsi="Cambria" w:cs="Cambria"/>
          <w:b/>
          <w:vertAlign w:val="superscript"/>
        </w:rPr>
      </w:pPr>
      <w:r w:rsidRPr="00DE0657">
        <w:rPr>
          <w:rFonts w:ascii="Cambria" w:eastAsia="Cambria" w:hAnsi="Cambria" w:cs="Cambria"/>
          <w:b/>
        </w:rPr>
        <w:t>Najwa Fadhilah Sofyan</w:t>
      </w:r>
      <w:r w:rsidRPr="00DE0657">
        <w:rPr>
          <w:rFonts w:ascii="Cambria" w:eastAsia="Cambria" w:hAnsi="Cambria" w:cs="Cambria"/>
          <w:b/>
          <w:vertAlign w:val="superscript"/>
        </w:rPr>
        <w:t xml:space="preserve"> </w:t>
      </w:r>
      <w:r w:rsidR="00D555F2" w:rsidRPr="00DE0657">
        <w:rPr>
          <w:rFonts w:ascii="Cambria" w:eastAsia="Cambria" w:hAnsi="Cambria" w:cs="Cambria"/>
          <w:b/>
          <w:vertAlign w:val="superscript"/>
        </w:rPr>
        <w:t>1</w:t>
      </w:r>
      <w:r w:rsidR="00D555F2" w:rsidRPr="00DE0657">
        <w:rPr>
          <w:rFonts w:ascii="Cambria" w:eastAsia="Cambria" w:hAnsi="Cambria" w:cs="Cambria"/>
          <w:b/>
        </w:rPr>
        <w:t xml:space="preserve">, </w:t>
      </w:r>
      <w:r w:rsidRPr="00DE0657">
        <w:rPr>
          <w:rFonts w:ascii="Cambria" w:eastAsia="Cambria" w:hAnsi="Cambria" w:cs="Cambria"/>
          <w:b/>
        </w:rPr>
        <w:t>Taopik Rahman</w:t>
      </w:r>
      <w:r w:rsidR="00D555F2" w:rsidRPr="00DE0657">
        <w:rPr>
          <w:rFonts w:ascii="Cambria" w:eastAsia="Cambria" w:hAnsi="Cambria" w:cs="Cambria"/>
          <w:b/>
          <w:vertAlign w:val="superscript"/>
        </w:rPr>
        <w:t>2</w:t>
      </w:r>
      <w:r w:rsidR="00D555F2" w:rsidRPr="00DE0657">
        <w:rPr>
          <w:rFonts w:ascii="Cambria" w:eastAsia="Cambria" w:hAnsi="Cambria" w:cs="Cambria"/>
          <w:b/>
        </w:rPr>
        <w:t xml:space="preserve">, </w:t>
      </w:r>
      <w:r w:rsidRPr="00DE0657">
        <w:rPr>
          <w:rFonts w:ascii="Cambria" w:eastAsia="Cambria" w:hAnsi="Cambria" w:cs="Cambria"/>
          <w:b/>
        </w:rPr>
        <w:t>Risbon Sianturi</w:t>
      </w:r>
      <w:r w:rsidRPr="00DE0657">
        <w:rPr>
          <w:rFonts w:ascii="Cambria" w:eastAsia="Cambria" w:hAnsi="Cambria" w:cs="Cambria"/>
          <w:b/>
          <w:vertAlign w:val="superscript"/>
        </w:rPr>
        <w:t xml:space="preserve"> </w:t>
      </w:r>
      <w:r w:rsidR="00D555F2" w:rsidRPr="00DE0657">
        <w:rPr>
          <w:rFonts w:ascii="Cambria" w:eastAsia="Cambria" w:hAnsi="Cambria" w:cs="Cambria"/>
          <w:b/>
          <w:vertAlign w:val="superscript"/>
        </w:rPr>
        <w:t>3</w:t>
      </w:r>
    </w:p>
    <w:p w14:paraId="2A5D9646" w14:textId="02DA01C1" w:rsidR="00217892" w:rsidRPr="00DE0657" w:rsidRDefault="00D555F2" w:rsidP="00F51F81">
      <w:pPr>
        <w:spacing w:after="0" w:line="240" w:lineRule="auto"/>
        <w:rPr>
          <w:rFonts w:ascii="Cambria" w:eastAsia="Cambria" w:hAnsi="Cambria" w:cs="Cambria"/>
        </w:rPr>
      </w:pPr>
      <w:r w:rsidRPr="00DE0657">
        <w:rPr>
          <w:rFonts w:ascii="Cambria" w:eastAsia="Cambria" w:hAnsi="Cambria" w:cs="Cambria"/>
          <w:vertAlign w:val="superscript"/>
        </w:rPr>
        <w:t>1, 2, 3</w:t>
      </w:r>
      <w:r w:rsidR="00F51F81" w:rsidRPr="00DE0657">
        <w:rPr>
          <w:rFonts w:ascii="Cambria" w:eastAsia="Cambria" w:hAnsi="Cambria" w:cs="Cambria"/>
        </w:rPr>
        <w:t>Pendidikan Guru Pendidikan Anak Usia Dini, Kampus UPI di Tasikmalaya</w:t>
      </w:r>
    </w:p>
    <w:p w14:paraId="13B64EA1" w14:textId="77777777" w:rsidR="00F51F81" w:rsidRPr="00DE0657" w:rsidRDefault="00F51F81" w:rsidP="00F51F81">
      <w:pPr>
        <w:spacing w:after="0" w:line="240" w:lineRule="auto"/>
        <w:rPr>
          <w:rFonts w:ascii="Cambria" w:eastAsia="Cambria" w:hAnsi="Cambria" w:cs="Cambria"/>
          <w:i/>
        </w:rPr>
      </w:pPr>
      <w:r w:rsidRPr="00DE0657">
        <w:rPr>
          <w:rFonts w:ascii="Cambria" w:eastAsia="Cambria" w:hAnsi="Cambria" w:cs="Cambria"/>
          <w:bCs/>
        </w:rPr>
        <w:t>Jl. Dadaha No. 18 Tasikmalaya, Indonesia</w:t>
      </w:r>
    </w:p>
    <w:p w14:paraId="2C646462" w14:textId="17B5C016" w:rsidR="00217892" w:rsidRPr="00DE0657" w:rsidRDefault="00D555F2" w:rsidP="00F51F81">
      <w:pPr>
        <w:spacing w:after="0" w:line="240" w:lineRule="auto"/>
        <w:rPr>
          <w:rFonts w:ascii="Cambria" w:eastAsia="Cambria" w:hAnsi="Cambria" w:cs="Cambria"/>
        </w:rPr>
      </w:pPr>
      <w:r w:rsidRPr="00DE0657">
        <w:rPr>
          <w:rFonts w:ascii="Cambria" w:eastAsia="Cambria" w:hAnsi="Cambria" w:cs="Cambria"/>
          <w:i/>
        </w:rPr>
        <w:t>Email</w:t>
      </w:r>
      <w:r w:rsidRPr="00DE0657">
        <w:rPr>
          <w:rFonts w:ascii="Cambria" w:eastAsia="Cambria" w:hAnsi="Cambria" w:cs="Cambria"/>
        </w:rPr>
        <w:t xml:space="preserve">: </w:t>
      </w:r>
      <w:hyperlink r:id="rId9" w:history="1">
        <w:r w:rsidR="00F51F81" w:rsidRPr="00DE0657">
          <w:rPr>
            <w:rStyle w:val="Hyperlink"/>
            <w:rFonts w:ascii="Cambria" w:eastAsia="Cambria" w:hAnsi="Cambria" w:cs="Cambria"/>
          </w:rPr>
          <w:t>najwafadhilah24@upi.edu</w:t>
        </w:r>
      </w:hyperlink>
      <w:r w:rsidRPr="00DE0657">
        <w:rPr>
          <w:rFonts w:ascii="Cambria" w:eastAsia="Cambria" w:hAnsi="Cambria" w:cs="Cambria"/>
          <w:vertAlign w:val="superscript"/>
        </w:rPr>
        <w:t>1</w:t>
      </w:r>
      <w:r w:rsidRPr="00DE0657">
        <w:rPr>
          <w:rFonts w:ascii="Cambria" w:eastAsia="Cambria" w:hAnsi="Cambria" w:cs="Cambria"/>
        </w:rPr>
        <w:t xml:space="preserve">, </w:t>
      </w:r>
      <w:hyperlink r:id="rId10" w:history="1">
        <w:r w:rsidR="00F51F81" w:rsidRPr="00DE0657">
          <w:rPr>
            <w:rStyle w:val="Hyperlink"/>
            <w:rFonts w:ascii="Cambria" w:eastAsia="Cambria" w:hAnsi="Cambria" w:cs="Cambria"/>
          </w:rPr>
          <w:t>opik@upi.edu</w:t>
        </w:r>
      </w:hyperlink>
      <w:r w:rsidRPr="00DE0657">
        <w:rPr>
          <w:rFonts w:ascii="Cambria" w:eastAsia="Cambria" w:hAnsi="Cambria" w:cs="Cambria"/>
          <w:vertAlign w:val="superscript"/>
        </w:rPr>
        <w:t>2</w:t>
      </w:r>
      <w:r w:rsidRPr="00DE0657">
        <w:rPr>
          <w:rFonts w:ascii="Cambria" w:eastAsia="Cambria" w:hAnsi="Cambria" w:cs="Cambria"/>
        </w:rPr>
        <w:t xml:space="preserve">, </w:t>
      </w:r>
      <w:hyperlink r:id="rId11" w:history="1">
        <w:r w:rsidR="00F51F81" w:rsidRPr="00DE0657">
          <w:rPr>
            <w:rStyle w:val="Hyperlink"/>
            <w:rFonts w:ascii="Cambria" w:eastAsia="Cambria" w:hAnsi="Cambria" w:cs="Cambria"/>
          </w:rPr>
          <w:t>risbonsianturi@upi.edu</w:t>
        </w:r>
      </w:hyperlink>
      <w:r w:rsidRPr="00DE0657">
        <w:rPr>
          <w:rFonts w:ascii="Cambria" w:eastAsia="Cambria" w:hAnsi="Cambria" w:cs="Cambria"/>
          <w:vertAlign w:val="superscript"/>
        </w:rPr>
        <w:t>3</w:t>
      </w:r>
    </w:p>
    <w:p w14:paraId="226BBB93" w14:textId="77777777" w:rsidR="00217892" w:rsidRPr="00DE0657" w:rsidRDefault="00217892">
      <w:pPr>
        <w:spacing w:after="0" w:line="360" w:lineRule="auto"/>
        <w:rPr>
          <w:rFonts w:ascii="Garamond" w:eastAsia="Garamond" w:hAnsi="Garamond" w:cs="Garamond"/>
          <w:sz w:val="24"/>
          <w:szCs w:val="24"/>
        </w:rPr>
      </w:pPr>
    </w:p>
    <w:p w14:paraId="1A07C42E" w14:textId="77777777" w:rsidR="00217892" w:rsidRPr="00DE0657" w:rsidRDefault="00D555F2">
      <w:pPr>
        <w:spacing w:after="0" w:line="360" w:lineRule="auto"/>
        <w:jc w:val="center"/>
        <w:rPr>
          <w:rFonts w:ascii="Cambria" w:eastAsia="Cambria" w:hAnsi="Cambria" w:cs="Cambria"/>
        </w:rPr>
      </w:pPr>
      <w:r w:rsidRPr="00DE0657">
        <w:rPr>
          <w:rFonts w:ascii="Cambria" w:eastAsia="Cambria" w:hAnsi="Cambria" w:cs="Cambria"/>
          <w:sz w:val="20"/>
          <w:szCs w:val="20"/>
        </w:rPr>
        <w:t>Naskah diterima: .............., direvisi: ................, diterbitkan: .......................</w:t>
      </w:r>
      <w:r w:rsidRPr="00DE0657">
        <w:rPr>
          <w:noProof/>
        </w:rPr>
        <mc:AlternateContent>
          <mc:Choice Requires="wps">
            <w:drawing>
              <wp:anchor distT="0" distB="0" distL="114300" distR="114300" simplePos="0" relativeHeight="251658240" behindDoc="0" locked="0" layoutInCell="1" hidden="0" allowOverlap="1" wp14:anchorId="40CB9563" wp14:editId="5D2EC63D">
                <wp:simplePos x="0" y="0"/>
                <wp:positionH relativeFrom="column">
                  <wp:posOffset>558800</wp:posOffset>
                </wp:positionH>
                <wp:positionV relativeFrom="paragraph">
                  <wp:posOffset>0</wp:posOffset>
                </wp:positionV>
                <wp:extent cx="4248150" cy="222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26688" y="3780000"/>
                          <a:ext cx="42386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E2995FF" id="_x0000_t32" coordsize="21600,21600" o:spt="32" o:oned="t" path="m,l21600,21600e" filled="f">
                <v:path arrowok="t" fillok="f" o:connecttype="none"/>
                <o:lock v:ext="edit" shapetype="t"/>
              </v:shapetype>
              <v:shape id="Straight Arrow Connector 226" o:spid="_x0000_s1026" type="#_x0000_t32" style="position:absolute;margin-left:44pt;margin-top:0;width:334.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jygEAAIgDAAAOAAAAZHJzL2Uyb0RvYy54bWysU9tu2zAMfR+wfxD0vthx1yw14vQhWfcy&#10;bAW2fQCriy1MN4hqnPz9KKVrdnkoMMwPMmWSh4fk8eb26Cw7qIQm+IEvFy1nyosgjR8H/u3r3Zs1&#10;Z5jBS7DBq4GfFPLb7etXmzn2qgtTsFIlRiAe+zkOfMo59k2DYlIOcBGi8uTUITnIdE1jIxPMhO5s&#10;07XtqplDkjEFoRDp6/7s5NuKr7US+bPWqDKzAyduuZ6png/lbLYb6McEcTLiiQb8AwsHxlPRZ6g9&#10;ZGCPyfwF5YxIAYPOCxFcE7Q2QtUeqJtl+0c3XyaIqvZCw8H4PCb8f7Di02Hn7xONYY7YY7xPpYuj&#10;Tq68iR87Dvyq61arNW3yRPa7dUvPeXDqmJmggLfd1XrVXXMmKKL6mgtITJg/qOBYMQaOOYEZp7wL&#10;3tN6QlrWwcHhI2aiQYk/EwoDH+6MtXVL1rN54DfXtQ6QVrSFTCVdlITqxwqDwRpZUkpyVZHa2cQO&#10;QPuX35eFNlX4LaqU2wNO56DqOneXwqOXtfSkQL73kuVTJA17UjIvXNBxZhXpnowal8HYl+OIgPXE&#10;4zLxYj0EeaqLqN9p3ZXpkzSLnn691+zLD7T9AQAA//8DAFBLAwQUAAYACAAAACEA9uvhgN4AAAAF&#10;AQAADwAAAGRycy9kb3ducmV2LnhtbEyPQUvDQBCF74L/YRnBm92otAkxkyKF1oNYaBWqt212m41m&#10;Z8Puto3/3vGkl+ENb3jvm2o+ul6cTIidJ4TbSQbCUON1Ry3C2+vypgARkyKtek8G4dtEmNeXF5Uq&#10;tT/Txpy2qRUcQrFUCDaloZQyNtY4FSd+MMTewQenEq+hlTqoM4e7Xt5l2Uw61RE3WDWYhTXN1/bo&#10;EJbv6ya34TB7tk8fi7Ra71afLzvE66vx8QFEMmP6O4ZffEaHmpn2/kg6ih6hKPiVhMCT3Xyas9gj&#10;3E9B1pX8T1//AAAA//8DAFBLAQItABQABgAIAAAAIQC2gziS/gAAAOEBAAATAAAAAAAAAAAAAAAA&#10;AAAAAABbQ29udGVudF9UeXBlc10ueG1sUEsBAi0AFAAGAAgAAAAhADj9If/WAAAAlAEAAAsAAAAA&#10;AAAAAAAAAAAALwEAAF9yZWxzLy5yZWxzUEsBAi0AFAAGAAgAAAAhAIShSaPKAQAAiAMAAA4AAAAA&#10;AAAAAAAAAAAALgIAAGRycy9lMm9Eb2MueG1sUEsBAi0AFAAGAAgAAAAhAPbr4YDeAAAABQEAAA8A&#10;AAAAAAAAAAAAAAAAJAQAAGRycy9kb3ducmV2LnhtbFBLBQYAAAAABAAEAPMAAAAvBQAAAAA=&#10;" strokecolor="black [3200]">
                <v:stroke startarrowwidth="narrow" startarrowlength="short" endarrowwidth="narrow" endarrowlength="short"/>
              </v:shape>
            </w:pict>
          </mc:Fallback>
        </mc:AlternateContent>
      </w:r>
      <w:r w:rsidRPr="00DE0657">
        <w:rPr>
          <w:noProof/>
        </w:rPr>
        <mc:AlternateContent>
          <mc:Choice Requires="wps">
            <w:drawing>
              <wp:anchor distT="0" distB="0" distL="114300" distR="114300" simplePos="0" relativeHeight="251659264" behindDoc="0" locked="0" layoutInCell="1" hidden="0" allowOverlap="1" wp14:anchorId="6677F2BE" wp14:editId="22A84209">
                <wp:simplePos x="0" y="0"/>
                <wp:positionH relativeFrom="column">
                  <wp:posOffset>533400</wp:posOffset>
                </wp:positionH>
                <wp:positionV relativeFrom="paragraph">
                  <wp:posOffset>139700</wp:posOffset>
                </wp:positionV>
                <wp:extent cx="4276725" cy="222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BCBA1F8" id="Straight Arrow Connector 224" o:spid="_x0000_s1026" type="#_x0000_t32" style="position:absolute;margin-left:42pt;margin-top:11pt;width:336.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ivygEAAIgDAAAOAAAAZHJzL2Uyb0RvYy54bWysU8mO2zAMvRfoPwi6N146W404c0g6vRTt&#10;AG0/gKPFFiqJgqSJk78vpcxMuhwKFPVBpkzy8ZF8Xt8enGV7FZNBP/Ju1XKmvEBp/DTyb1/v3txw&#10;ljJ4CRa9GvlRJX67ef1qvYRB9TijlSoyAvFpWMLI55zD0DRJzMpBWmFQnpwao4NM1zg1MsJC6M42&#10;fdteNQtGGSIKlRJ93Z2cfFPxtVYif9Y6qczsyIlbrmes50M5m80ahilCmI14ogH/wMKB8VT0BWoH&#10;GdhjNH9AOSMiJtR5JdA1qLURqvZA3XTtb918mSGo2gsNJ4WXMaX/Bys+7bf+PtIYlpCGFO5j6eKg&#10;oytv4scOI3/bd/1FS+M7kn1909JzGpw6ZCYo4KK/uqZtcCYoovqaM0iIKX9Q6FgxRp5yBDPNeYve&#10;03owdnVwsP+YMtGgxOeEwsDjnbG2bsl6toz83WV/SXWAtKItZDJdkITqpwqT0BpZUkpyVZHa2sj2&#10;QPuX37tCmyr8ElXK7SDNp6DqOnUX8dHLWnpWIN97yfIxkIY9KZkXLslxZhXpnowal8HYv8cRAeuJ&#10;x3nixXpAeayLqN9p3ZXpkzSLnn6+1+zzD7T5AQAA//8DAFBLAwQUAAYACAAAACEA511wleEAAAAI&#10;AQAADwAAAGRycy9kb3ducmV2LnhtbEyPQUvDQBCF74L/YRnBm90YTFNiNkUKrQexYBWqt212mo1m&#10;Z0N226b/vuNJT8PMe7z5XjkfXSeOOITWk4L7SQICqfampUbBx/vybgYiRE1Gd55QwRkDzKvrq1IX&#10;xp/oDY+b2AgOoVBoBTbGvpAy1BadDhPfI7G294PTkdehkWbQJw53nUyTZCqdbok/WN3jwmL9szk4&#10;BcvPdZ3bYT99sc9fi7hab1ffr1ulbm/Gp0cQEcf4Z4ZffEaHipl2/kAmiE7B7IGrRAVpypP1PMsz&#10;EDs+ZBnIqpT/C1QXAAAA//8DAFBLAQItABQABgAIAAAAIQC2gziS/gAAAOEBAAATAAAAAAAAAAAA&#10;AAAAAAAAAABbQ29udGVudF9UeXBlc10ueG1sUEsBAi0AFAAGAAgAAAAhADj9If/WAAAAlAEAAAsA&#10;AAAAAAAAAAAAAAAALwEAAF9yZWxzLy5yZWxzUEsBAi0AFAAGAAgAAAAhAGu7uK/KAQAAiAMAAA4A&#10;AAAAAAAAAAAAAAAALgIAAGRycy9lMm9Eb2MueG1sUEsBAi0AFAAGAAgAAAAhAOddcJXhAAAACAEA&#10;AA8AAAAAAAAAAAAAAAAAJAQAAGRycy9kb3ducmV2LnhtbFBLBQYAAAAABAAEAPMAAAAyBQAAAAA=&#10;" strokecolor="black [3200]">
                <v:stroke startarrowwidth="narrow" startarrowlength="short" endarrowwidth="narrow" endarrowlength="short"/>
              </v:shape>
            </w:pict>
          </mc:Fallback>
        </mc:AlternateContent>
      </w:r>
    </w:p>
    <w:p w14:paraId="36FDE105" w14:textId="77777777" w:rsidR="00217892" w:rsidRPr="00DE0657" w:rsidRDefault="00217892">
      <w:pPr>
        <w:spacing w:after="0" w:line="360" w:lineRule="auto"/>
        <w:jc w:val="both"/>
        <w:rPr>
          <w:rFonts w:ascii="Garamond" w:eastAsia="Garamond" w:hAnsi="Garamond" w:cs="Garamond"/>
          <w:sz w:val="24"/>
          <w:szCs w:val="24"/>
        </w:rPr>
      </w:pPr>
    </w:p>
    <w:p w14:paraId="6B204C2A" w14:textId="709DC437" w:rsidR="00217892" w:rsidRPr="00DE0657" w:rsidRDefault="00D555F2" w:rsidP="00E065C5">
      <w:pPr>
        <w:spacing w:after="0" w:line="240" w:lineRule="auto"/>
        <w:jc w:val="both"/>
        <w:rPr>
          <w:rFonts w:ascii="Cambria" w:eastAsia="Cambria" w:hAnsi="Cambria" w:cs="Cambria"/>
          <w:sz w:val="20"/>
          <w:szCs w:val="20"/>
        </w:rPr>
      </w:pPr>
      <w:r w:rsidRPr="00DE0657">
        <w:rPr>
          <w:rFonts w:ascii="Cambria" w:eastAsia="Cambria" w:hAnsi="Cambria" w:cs="Cambria"/>
          <w:b/>
          <w:sz w:val="20"/>
          <w:szCs w:val="20"/>
        </w:rPr>
        <w:t xml:space="preserve">Abstrak: </w:t>
      </w:r>
      <w:r w:rsidR="00E065C5" w:rsidRPr="00DE0657">
        <w:rPr>
          <w:rFonts w:ascii="Cambria" w:eastAsia="Cambria" w:hAnsi="Cambria" w:cs="Cambria"/>
          <w:sz w:val="20"/>
          <w:szCs w:val="20"/>
        </w:rPr>
        <w:t xml:space="preserve">Di tengah meningkatnya perhatian global terhadap kesejahteraan anak, muncul paradoks sosiologis di mana standar kebahagiaan anak didominasi oleh parameter objektif orang dewasa yang bersifat </w:t>
      </w:r>
      <w:r w:rsidR="00E065C5" w:rsidRPr="00DE0657">
        <w:rPr>
          <w:rFonts w:ascii="Cambria" w:eastAsia="Cambria" w:hAnsi="Cambria" w:cs="Cambria"/>
          <w:i/>
          <w:iCs/>
          <w:sz w:val="20"/>
          <w:szCs w:val="20"/>
        </w:rPr>
        <w:t>adult-centric</w:t>
      </w:r>
      <w:r w:rsidR="00E065C5" w:rsidRPr="00DE0657">
        <w:rPr>
          <w:rFonts w:ascii="Cambria" w:eastAsia="Cambria" w:hAnsi="Cambria" w:cs="Cambria"/>
          <w:sz w:val="20"/>
          <w:szCs w:val="20"/>
        </w:rPr>
        <w:t xml:space="preserve">. Fenomena ini menciptakan "kebahagiaan titipan" yang mereduksi kesejahteraan menjadi sekadar kepatuhan terhadap standar eksternal. Penelitian ini bertujuan untuk merekonstruksi konsep </w:t>
      </w:r>
      <w:r w:rsidR="00E065C5" w:rsidRPr="00DE0657">
        <w:rPr>
          <w:rFonts w:ascii="Cambria" w:eastAsia="Cambria" w:hAnsi="Cambria" w:cs="Cambria"/>
          <w:i/>
          <w:iCs/>
          <w:sz w:val="20"/>
          <w:szCs w:val="20"/>
        </w:rPr>
        <w:t>Subjective Well-Being</w:t>
      </w:r>
      <w:r w:rsidR="00E065C5" w:rsidRPr="00DE0657">
        <w:rPr>
          <w:rFonts w:ascii="Cambria" w:eastAsia="Cambria" w:hAnsi="Cambria" w:cs="Cambria"/>
          <w:sz w:val="20"/>
          <w:szCs w:val="20"/>
        </w:rPr>
        <w:t xml:space="preserve"> (SWB) pada anak usia dini dengan menempatkan </w:t>
      </w:r>
      <w:r w:rsidR="00E065C5" w:rsidRPr="00DE0657">
        <w:rPr>
          <w:rFonts w:ascii="Cambria" w:eastAsia="Cambria" w:hAnsi="Cambria" w:cs="Cambria"/>
          <w:i/>
          <w:iCs/>
          <w:sz w:val="20"/>
          <w:szCs w:val="20"/>
        </w:rPr>
        <w:t>child agency</w:t>
      </w:r>
      <w:r w:rsidR="00E065C5" w:rsidRPr="00DE0657">
        <w:rPr>
          <w:rFonts w:ascii="Cambria" w:eastAsia="Cambria" w:hAnsi="Cambria" w:cs="Cambria"/>
          <w:sz w:val="20"/>
          <w:szCs w:val="20"/>
        </w:rPr>
        <w:t xml:space="preserve"> sebagai variabel determinan utama, sekaligus mengisi celah krusial </w:t>
      </w:r>
      <w:r w:rsidR="00E065C5" w:rsidRPr="00DE0657">
        <w:rPr>
          <w:rFonts w:ascii="Cambria" w:eastAsia="Cambria" w:hAnsi="Cambria" w:cs="Cambria"/>
          <w:i/>
          <w:iCs/>
          <w:sz w:val="20"/>
          <w:szCs w:val="20"/>
        </w:rPr>
        <w:t>"The 8-Year-Old Gap"</w:t>
      </w:r>
      <w:r w:rsidR="00E065C5" w:rsidRPr="00DE0657">
        <w:rPr>
          <w:rFonts w:ascii="Cambria" w:eastAsia="Cambria" w:hAnsi="Cambria" w:cs="Cambria"/>
          <w:sz w:val="20"/>
          <w:szCs w:val="20"/>
        </w:rPr>
        <w:t xml:space="preserve"> dalam instrumen internasional. Metode penelitian yang digunakan adalah </w:t>
      </w:r>
      <w:r w:rsidR="00E065C5" w:rsidRPr="00DE0657">
        <w:rPr>
          <w:rFonts w:ascii="Cambria" w:eastAsia="Cambria" w:hAnsi="Cambria" w:cs="Cambria"/>
          <w:i/>
          <w:iCs/>
          <w:sz w:val="20"/>
          <w:szCs w:val="20"/>
        </w:rPr>
        <w:t>Integrative Literature Review</w:t>
      </w:r>
      <w:r w:rsidR="00E065C5" w:rsidRPr="00DE0657">
        <w:rPr>
          <w:rFonts w:ascii="Cambria" w:eastAsia="Cambria" w:hAnsi="Cambria" w:cs="Cambria"/>
          <w:sz w:val="20"/>
          <w:szCs w:val="20"/>
        </w:rPr>
        <w:t xml:space="preserve"> dengan pendekatan </w:t>
      </w:r>
      <w:r w:rsidR="00E065C5" w:rsidRPr="00DE0657">
        <w:rPr>
          <w:rFonts w:ascii="Cambria" w:eastAsia="Cambria" w:hAnsi="Cambria" w:cs="Cambria"/>
          <w:i/>
          <w:iCs/>
          <w:sz w:val="20"/>
          <w:szCs w:val="20"/>
        </w:rPr>
        <w:t>Critical Interpretive Synthesis</w:t>
      </w:r>
      <w:r w:rsidR="00E065C5" w:rsidRPr="00DE0657">
        <w:rPr>
          <w:rFonts w:ascii="Cambria" w:eastAsia="Cambria" w:hAnsi="Cambria" w:cs="Cambria"/>
          <w:sz w:val="20"/>
          <w:szCs w:val="20"/>
        </w:rPr>
        <w:t xml:space="preserve"> (CIS) terhadap 32 literatur primer periode 2015–2025. Analisis dilakukan melalui teknik </w:t>
      </w:r>
      <w:r w:rsidR="00E065C5" w:rsidRPr="00DE0657">
        <w:rPr>
          <w:rFonts w:ascii="Cambria" w:eastAsia="Cambria" w:hAnsi="Cambria" w:cs="Cambria"/>
          <w:i/>
          <w:iCs/>
          <w:sz w:val="20"/>
          <w:szCs w:val="20"/>
        </w:rPr>
        <w:t>thematic coding</w:t>
      </w:r>
      <w:r w:rsidR="00E065C5" w:rsidRPr="00DE0657">
        <w:rPr>
          <w:rFonts w:ascii="Cambria" w:eastAsia="Cambria" w:hAnsi="Cambria" w:cs="Cambria"/>
          <w:sz w:val="20"/>
          <w:szCs w:val="20"/>
        </w:rPr>
        <w:t xml:space="preserve"> interpretif untuk membedah relasi kekuasaan dalam pendefinisian kebahagiaan. Hasil kajian menunjukkan bahwa pendekatan positivistik sering terjebak dalam pembungkaman agensi anak melalui kontrol struktur yang kaku. Temuan menegaskan bahwa SWB autentik hanya dapat dicapai melalui </w:t>
      </w:r>
      <w:r w:rsidR="00E065C5" w:rsidRPr="00DE0657">
        <w:rPr>
          <w:rFonts w:ascii="Cambria" w:eastAsia="Cambria" w:hAnsi="Cambria" w:cs="Cambria"/>
          <w:i/>
          <w:iCs/>
          <w:sz w:val="20"/>
          <w:szCs w:val="20"/>
        </w:rPr>
        <w:t>Dialogic Well-Being</w:t>
      </w:r>
      <w:r w:rsidR="00E065C5" w:rsidRPr="00DE0657">
        <w:rPr>
          <w:rFonts w:ascii="Cambria" w:eastAsia="Cambria" w:hAnsi="Cambria" w:cs="Cambria"/>
          <w:sz w:val="20"/>
          <w:szCs w:val="20"/>
        </w:rPr>
        <w:t xml:space="preserve"> berbasis </w:t>
      </w:r>
      <w:r w:rsidR="00E065C5" w:rsidRPr="00DE0657">
        <w:rPr>
          <w:rFonts w:ascii="Cambria" w:eastAsia="Cambria" w:hAnsi="Cambria" w:cs="Cambria"/>
          <w:i/>
          <w:iCs/>
          <w:sz w:val="20"/>
          <w:szCs w:val="20"/>
        </w:rPr>
        <w:t>relational agency</w:t>
      </w:r>
      <w:r w:rsidR="00E065C5" w:rsidRPr="00DE0657">
        <w:rPr>
          <w:rFonts w:ascii="Cambria" w:eastAsia="Cambria" w:hAnsi="Cambria" w:cs="Cambria"/>
          <w:sz w:val="20"/>
          <w:szCs w:val="20"/>
        </w:rPr>
        <w:t xml:space="preserve"> dan iklim kepercayaan (</w:t>
      </w:r>
      <w:r w:rsidR="00E065C5" w:rsidRPr="00DE0657">
        <w:rPr>
          <w:rFonts w:ascii="Cambria" w:eastAsia="Cambria" w:hAnsi="Cambria" w:cs="Cambria"/>
          <w:i/>
          <w:iCs/>
          <w:sz w:val="20"/>
          <w:szCs w:val="20"/>
        </w:rPr>
        <w:t>trust</w:t>
      </w:r>
      <w:r w:rsidR="00E065C5" w:rsidRPr="00DE0657">
        <w:rPr>
          <w:rFonts w:ascii="Cambria" w:eastAsia="Cambria" w:hAnsi="Cambria" w:cs="Cambria"/>
          <w:sz w:val="20"/>
          <w:szCs w:val="20"/>
        </w:rPr>
        <w:t>). Kegagalan mengakui agensi anak merupakan kegagalan sistemik dalam menjamin hak asasi manusia anak yang paling mendasar, yaitu hak atas kebahagiaan mandiri dan kedaulatan subjektif.</w:t>
      </w:r>
    </w:p>
    <w:p w14:paraId="3CA20D13" w14:textId="77777777" w:rsidR="00D11D1A" w:rsidRPr="00DE0657" w:rsidRDefault="00D11D1A" w:rsidP="00E065C5">
      <w:pPr>
        <w:spacing w:after="0" w:line="240" w:lineRule="auto"/>
        <w:jc w:val="both"/>
        <w:rPr>
          <w:rFonts w:ascii="Cambria" w:eastAsia="Cambria" w:hAnsi="Cambria" w:cs="Cambria"/>
          <w:b/>
          <w:sz w:val="20"/>
          <w:szCs w:val="20"/>
        </w:rPr>
      </w:pPr>
    </w:p>
    <w:p w14:paraId="7359329D" w14:textId="7C82489A" w:rsidR="00217892" w:rsidRPr="00DE0657" w:rsidRDefault="00D555F2" w:rsidP="00E065C5">
      <w:pPr>
        <w:spacing w:after="0" w:line="240" w:lineRule="auto"/>
        <w:ind w:right="-1"/>
        <w:jc w:val="both"/>
        <w:rPr>
          <w:rFonts w:ascii="Cambria" w:eastAsia="Cambria" w:hAnsi="Cambria" w:cs="Cambria"/>
          <w:i/>
          <w:iCs/>
          <w:sz w:val="20"/>
          <w:szCs w:val="20"/>
        </w:rPr>
      </w:pPr>
      <w:r w:rsidRPr="00DE0657">
        <w:rPr>
          <w:rFonts w:ascii="Cambria" w:eastAsia="Cambria" w:hAnsi="Cambria" w:cs="Cambria"/>
          <w:b/>
          <w:sz w:val="20"/>
          <w:szCs w:val="20"/>
        </w:rPr>
        <w:t xml:space="preserve">Kata kunci: </w:t>
      </w:r>
      <w:r w:rsidR="00E065C5" w:rsidRPr="00DE0657">
        <w:rPr>
          <w:rFonts w:ascii="Cambria" w:eastAsia="Cambria" w:hAnsi="Cambria" w:cs="Cambria"/>
          <w:i/>
          <w:iCs/>
          <w:sz w:val="20"/>
          <w:szCs w:val="20"/>
        </w:rPr>
        <w:t>Child Agency, Subjective Well-Being, Childism, Kebahagiaan Titipan, Dialogic Well-Being, The 8-Year-Old Gap.</w:t>
      </w:r>
    </w:p>
    <w:p w14:paraId="0B5144BD" w14:textId="77777777" w:rsidR="00E065C5" w:rsidRPr="00DE0657" w:rsidRDefault="00E065C5" w:rsidP="00E065C5">
      <w:pPr>
        <w:spacing w:after="0" w:line="240" w:lineRule="auto"/>
        <w:ind w:right="-1"/>
        <w:jc w:val="both"/>
        <w:rPr>
          <w:rFonts w:ascii="Cambria" w:eastAsia="Cambria" w:hAnsi="Cambria" w:cs="Cambria"/>
          <w:sz w:val="20"/>
          <w:szCs w:val="20"/>
        </w:rPr>
      </w:pPr>
    </w:p>
    <w:p w14:paraId="1A8877CE" w14:textId="6F9C2814" w:rsidR="00217892" w:rsidRPr="00DE0657" w:rsidRDefault="00D555F2" w:rsidP="00E065C5">
      <w:pPr>
        <w:spacing w:after="0" w:line="240" w:lineRule="auto"/>
        <w:jc w:val="both"/>
        <w:rPr>
          <w:rFonts w:ascii="Cambria" w:eastAsia="Cambria" w:hAnsi="Cambria" w:cs="Cambria"/>
          <w:bCs/>
          <w:i/>
          <w:sz w:val="20"/>
          <w:szCs w:val="20"/>
        </w:rPr>
      </w:pPr>
      <w:r w:rsidRPr="00DE0657">
        <w:rPr>
          <w:rFonts w:ascii="Cambria" w:eastAsia="Cambria" w:hAnsi="Cambria" w:cs="Cambria"/>
          <w:b/>
          <w:i/>
          <w:sz w:val="20"/>
          <w:szCs w:val="20"/>
        </w:rPr>
        <w:t>Abstract</w:t>
      </w:r>
      <w:r w:rsidRPr="00DE0657">
        <w:rPr>
          <w:rFonts w:ascii="Cambria" w:eastAsia="Cambria" w:hAnsi="Cambria" w:cs="Cambria"/>
          <w:b/>
          <w:sz w:val="20"/>
          <w:szCs w:val="20"/>
        </w:rPr>
        <w:t xml:space="preserve">: </w:t>
      </w:r>
      <w:r w:rsidR="00E065C5" w:rsidRPr="00DE0657">
        <w:rPr>
          <w:rFonts w:ascii="Cambria" w:eastAsia="Cambria" w:hAnsi="Cambria" w:cs="Cambria"/>
          <w:bCs/>
          <w:i/>
          <w:sz w:val="20"/>
          <w:szCs w:val="20"/>
        </w:rPr>
        <w:t>Amidst growing global attention to child welfare, a sociological paradox has emerged where standards of child happiness are dominated by objective, adult-centric parameters. This phenomenon creates "borrowed happiness," reducing well-being to mere compliance with external standards. This study aims to reconstruct the concept of Subjective Well-Being (SWB) in early childhood by positioning child agency as the primary determinant, while simultaneously addressing the crucial "8-Year-Old Gap" in international instruments. The research employs an Integrative Literature Review with a Critical Interpretive Synthesis (CIS) approach, analyzing 32 primary sources published between 2015 and 2025. Analysis was conducted using interpretive thematic coding to dissect power relations in defining happiness. The findings indicate that traditional positivistic approaches often suppress child agency through rigid structural controls. This study asserts that authentic SWB can only be achieved through "Dialogic Well-Being" rooted in relational agency and an atmosphere of trust. Failing to recognize child agency constitutes a systemic failure in securing the most fundamental human rights of children: the right to independent happiness and subjective sovereignty.</w:t>
      </w:r>
    </w:p>
    <w:p w14:paraId="37321D48" w14:textId="77777777" w:rsidR="00D11D1A" w:rsidRPr="00DE0657" w:rsidRDefault="00D11D1A" w:rsidP="00E065C5">
      <w:pPr>
        <w:spacing w:after="0" w:line="240" w:lineRule="auto"/>
        <w:jc w:val="both"/>
        <w:rPr>
          <w:rFonts w:ascii="Cambria" w:eastAsia="Cambria" w:hAnsi="Cambria" w:cs="Cambria"/>
          <w:i/>
          <w:sz w:val="20"/>
          <w:szCs w:val="20"/>
        </w:rPr>
      </w:pPr>
    </w:p>
    <w:p w14:paraId="5350BCED" w14:textId="61244286" w:rsidR="00217892" w:rsidRPr="00DE0657" w:rsidRDefault="00D555F2" w:rsidP="00E065C5">
      <w:pPr>
        <w:spacing w:after="0" w:line="276" w:lineRule="auto"/>
        <w:jc w:val="both"/>
        <w:rPr>
          <w:rFonts w:ascii="Cambria" w:eastAsia="Cambria" w:hAnsi="Cambria" w:cs="Cambria"/>
          <w:i/>
          <w:sz w:val="20"/>
          <w:szCs w:val="20"/>
        </w:rPr>
      </w:pPr>
      <w:r w:rsidRPr="00DE0657">
        <w:rPr>
          <w:rFonts w:ascii="Cambria" w:eastAsia="Cambria" w:hAnsi="Cambria" w:cs="Cambria"/>
          <w:b/>
          <w:i/>
          <w:sz w:val="20"/>
          <w:szCs w:val="20"/>
        </w:rPr>
        <w:t>Keywords:</w:t>
      </w:r>
      <w:r w:rsidRPr="00DE0657">
        <w:rPr>
          <w:rFonts w:ascii="Cambria" w:eastAsia="Cambria" w:hAnsi="Cambria" w:cs="Cambria"/>
          <w:i/>
          <w:sz w:val="20"/>
          <w:szCs w:val="20"/>
        </w:rPr>
        <w:t xml:space="preserve"> </w:t>
      </w:r>
      <w:r w:rsidR="00E065C5" w:rsidRPr="00DE0657">
        <w:rPr>
          <w:rFonts w:ascii="Cambria" w:eastAsia="Cambria" w:hAnsi="Cambria" w:cs="Cambria"/>
          <w:i/>
          <w:sz w:val="20"/>
          <w:szCs w:val="20"/>
        </w:rPr>
        <w:t>Child Agency, Subjective Well-Being, Childism, Borrowed Happiness, Dialogic Well-Being, The 8-Year-Old Gap.</w:t>
      </w:r>
    </w:p>
    <w:p w14:paraId="0303191D" w14:textId="77777777" w:rsidR="00E065C5" w:rsidRPr="00DE0657" w:rsidRDefault="00E065C5" w:rsidP="00E065C5">
      <w:pPr>
        <w:spacing w:after="0" w:line="276" w:lineRule="auto"/>
        <w:jc w:val="both"/>
        <w:rPr>
          <w:rFonts w:ascii="Cambria" w:eastAsia="Cambria" w:hAnsi="Cambria" w:cs="Cambria"/>
          <w:sz w:val="20"/>
          <w:szCs w:val="20"/>
        </w:rPr>
      </w:pPr>
    </w:p>
    <w:p w14:paraId="5B6CBA7F" w14:textId="77777777" w:rsidR="00217892" w:rsidRPr="00DE0657" w:rsidRDefault="00D555F2">
      <w:pPr>
        <w:numPr>
          <w:ilvl w:val="0"/>
          <w:numId w:val="2"/>
        </w:numPr>
        <w:pBdr>
          <w:top w:val="nil"/>
          <w:left w:val="nil"/>
          <w:bottom w:val="nil"/>
          <w:right w:val="nil"/>
          <w:between w:val="nil"/>
        </w:pBdr>
        <w:spacing w:after="0" w:line="276" w:lineRule="auto"/>
        <w:ind w:right="1283"/>
        <w:rPr>
          <w:rFonts w:ascii="Cambria" w:eastAsia="Cambria" w:hAnsi="Cambria" w:cs="Cambria"/>
          <w:b/>
          <w:color w:val="000000"/>
        </w:rPr>
      </w:pPr>
      <w:r w:rsidRPr="00DE0657">
        <w:rPr>
          <w:rFonts w:ascii="Cambria" w:eastAsia="Cambria" w:hAnsi="Cambria" w:cs="Cambria"/>
          <w:b/>
          <w:color w:val="000000"/>
        </w:rPr>
        <w:t>Pendahuluan</w:t>
      </w:r>
    </w:p>
    <w:p w14:paraId="71431C91" w14:textId="77777777" w:rsidR="00D11D1A" w:rsidRPr="00DE0657" w:rsidRDefault="00D11D1A" w:rsidP="00D11D1A">
      <w:pPr>
        <w:spacing w:after="0" w:line="360" w:lineRule="auto"/>
        <w:ind w:firstLine="993"/>
        <w:jc w:val="both"/>
        <w:rPr>
          <w:rFonts w:asciiTheme="majorHAnsi" w:eastAsia="Tahoma" w:hAnsiTheme="majorHAnsi" w:cs="Tahoma"/>
          <w:color w:val="222222"/>
        </w:rPr>
      </w:pPr>
      <w:r w:rsidRPr="00DE0657">
        <w:rPr>
          <w:rFonts w:asciiTheme="majorHAnsi" w:eastAsia="Tahoma" w:hAnsiTheme="majorHAnsi" w:cs="Tahoma"/>
          <w:color w:val="222222"/>
        </w:rPr>
        <w:lastRenderedPageBreak/>
        <w:t>Muncul sebuah paradoks sosiologis dalam diskursus kesejahteraan anak kontemporer: semakin canggih indikator kesejahteraan yang dikembangkan oleh institusi dewasa, semakin terpinggirkan ruang bagi anak untuk mendefinisikan dunianya sendiri. Saat ini, data menunjukkan bahwa tingkat kecemasan pada anak prasekolah telah mencapai 9% secara global (OECD, 2025). Hal ini mengindikasikan bahwa pendekatan "adult-centric" yang selama ini digunakan gagal berfungsi sebagai faktor pelindung (</w:t>
      </w:r>
      <w:r w:rsidRPr="00DE0657">
        <w:rPr>
          <w:rFonts w:asciiTheme="majorHAnsi" w:eastAsia="Tahoma" w:hAnsiTheme="majorHAnsi" w:cs="Tahoma"/>
          <w:i/>
          <w:iCs/>
          <w:color w:val="222222"/>
        </w:rPr>
        <w:t>protective factor</w:t>
      </w:r>
      <w:r w:rsidRPr="00DE0657">
        <w:rPr>
          <w:rFonts w:asciiTheme="majorHAnsi" w:eastAsia="Tahoma" w:hAnsiTheme="majorHAnsi" w:cs="Tahoma"/>
          <w:color w:val="222222"/>
        </w:rPr>
        <w:t>) bagi kesehatan mental anak. Masalah utamanya adalah dominasi perspektif positivistik-reduksionis yang mengukur kebahagiaan anak melalui variabel kuantitatif seperti status gizi dan skor perkembangan, namun mengabaikan pengalaman subjektif yang sebenarnya. Fenomena ini menciptakan "kebahagiaan titipan," di mana anak dianggap sejahtera hanya karena mereka memenuhi standar "ideal" orang dewasa, sementara agensi mereka dibungkam di balik angka statistik.</w:t>
      </w:r>
    </w:p>
    <w:p w14:paraId="36ABE66E" w14:textId="77777777" w:rsidR="00D11D1A" w:rsidRPr="00DE0657" w:rsidRDefault="00D11D1A" w:rsidP="00D11D1A">
      <w:pPr>
        <w:spacing w:after="0" w:line="360" w:lineRule="auto"/>
        <w:ind w:firstLine="993"/>
        <w:jc w:val="both"/>
        <w:rPr>
          <w:rFonts w:asciiTheme="majorHAnsi" w:eastAsia="Tahoma" w:hAnsiTheme="majorHAnsi" w:cs="Tahoma"/>
          <w:color w:val="222222"/>
        </w:rPr>
      </w:pPr>
      <w:r w:rsidRPr="00DE0657">
        <w:rPr>
          <w:rFonts w:asciiTheme="majorHAnsi" w:eastAsia="Tahoma" w:hAnsiTheme="majorHAnsi" w:cs="Tahoma"/>
          <w:color w:val="222222"/>
        </w:rPr>
        <w:t xml:space="preserve">Penelitian terdahulu secara ekstensif membahas kesejahteraan objektif, namun instrumen yang ada saat ini gagal menangkap dinamika agensi karena landasan epistemologisnya yang terlalu kaku dan memandang anak usia dini sebagai individu yang belum kompeten. Selain itu, terdapat celah metodologis yang disebut "The 8-Year-Old Gap"; instrumen global umumnya baru mulai mengukur SWB pada usia 8 tahun, meninggalkan anak usia dini dalam kekosongan data subjektif. Terdapat </w:t>
      </w:r>
      <w:r w:rsidRPr="00DE0657">
        <w:rPr>
          <w:rFonts w:asciiTheme="majorHAnsi" w:eastAsia="Tahoma" w:hAnsiTheme="majorHAnsi" w:cs="Tahoma"/>
          <w:i/>
          <w:iCs/>
          <w:color w:val="222222"/>
        </w:rPr>
        <w:t>research gap</w:t>
      </w:r>
      <w:r w:rsidRPr="00DE0657">
        <w:rPr>
          <w:rFonts w:asciiTheme="majorHAnsi" w:eastAsia="Tahoma" w:hAnsiTheme="majorHAnsi" w:cs="Tahoma"/>
          <w:color w:val="222222"/>
        </w:rPr>
        <w:t xml:space="preserve"> yang tajam mengenai bagaimana agensi yang merupakan faktor kedua paling signifikan bagi SWB setelah keamanan berperan sebagai prasyarat kesehatan mental.</w:t>
      </w:r>
    </w:p>
    <w:p w14:paraId="7BB3D842" w14:textId="77777777" w:rsidR="00D11D1A" w:rsidRPr="00DE0657" w:rsidRDefault="00D11D1A" w:rsidP="00D11D1A">
      <w:pPr>
        <w:spacing w:after="0" w:line="360" w:lineRule="auto"/>
        <w:ind w:firstLine="993"/>
        <w:jc w:val="both"/>
        <w:rPr>
          <w:rFonts w:asciiTheme="majorHAnsi" w:eastAsia="Tahoma" w:hAnsiTheme="majorHAnsi" w:cs="Tahoma"/>
          <w:color w:val="222222"/>
        </w:rPr>
      </w:pPr>
      <w:r w:rsidRPr="00DE0657">
        <w:rPr>
          <w:rFonts w:asciiTheme="majorHAnsi" w:eastAsia="Tahoma" w:hAnsiTheme="majorHAnsi" w:cs="Tahoma"/>
          <w:color w:val="222222"/>
        </w:rPr>
        <w:t xml:space="preserve">Kajian ini bertujuan untuk merekonstruksi konsep SWB anak dengan menempatkan agensi sebagai instrumen kedaulatan subjektif melalui kerangka </w:t>
      </w:r>
      <w:r w:rsidRPr="00DE0657">
        <w:rPr>
          <w:rFonts w:asciiTheme="majorHAnsi" w:eastAsia="Tahoma" w:hAnsiTheme="majorHAnsi" w:cs="Tahoma"/>
          <w:i/>
          <w:iCs/>
          <w:color w:val="222222"/>
        </w:rPr>
        <w:t>Dialogic Well-Being</w:t>
      </w:r>
      <w:r w:rsidRPr="00DE0657">
        <w:rPr>
          <w:rFonts w:asciiTheme="majorHAnsi" w:eastAsia="Tahoma" w:hAnsiTheme="majorHAnsi" w:cs="Tahoma"/>
          <w:color w:val="222222"/>
        </w:rPr>
        <w:t>. Batasan kajian difokuskan pada rentang usia 0-8 tahun, mencakup dimensi sosiologis, digital, dan lingkungan dari otonomi anak dalam konteks pendidikan. Urgensi penelitian ini terletak pada perlunya pembongkaran bias adultisme dalam sistem pendidikan anak usia dini dan inklusi.</w:t>
      </w:r>
    </w:p>
    <w:p w14:paraId="069D7B52" w14:textId="77777777" w:rsidR="00217892" w:rsidRPr="00DE0657" w:rsidRDefault="00217892">
      <w:pPr>
        <w:pBdr>
          <w:top w:val="nil"/>
          <w:left w:val="nil"/>
          <w:bottom w:val="nil"/>
          <w:right w:val="nil"/>
          <w:between w:val="nil"/>
        </w:pBdr>
        <w:spacing w:after="0" w:line="276" w:lineRule="auto"/>
        <w:ind w:right="1283" w:firstLine="720"/>
        <w:jc w:val="both"/>
        <w:rPr>
          <w:rFonts w:ascii="Cambria" w:eastAsia="Cambria" w:hAnsi="Cambria" w:cs="Cambria"/>
          <w:color w:val="000000"/>
        </w:rPr>
      </w:pPr>
    </w:p>
    <w:p w14:paraId="6290B541" w14:textId="77777777" w:rsidR="00217892" w:rsidRPr="00DE0657" w:rsidRDefault="00D555F2">
      <w:pPr>
        <w:numPr>
          <w:ilvl w:val="0"/>
          <w:numId w:val="2"/>
        </w:numPr>
        <w:pBdr>
          <w:top w:val="nil"/>
          <w:left w:val="nil"/>
          <w:bottom w:val="nil"/>
          <w:right w:val="nil"/>
          <w:between w:val="nil"/>
        </w:pBdr>
        <w:spacing w:after="0" w:line="276" w:lineRule="auto"/>
        <w:ind w:right="1283"/>
        <w:rPr>
          <w:rFonts w:ascii="Cambria" w:eastAsia="Cambria" w:hAnsi="Cambria" w:cs="Cambria"/>
          <w:b/>
          <w:color w:val="000000"/>
        </w:rPr>
      </w:pPr>
      <w:r w:rsidRPr="00DE0657">
        <w:rPr>
          <w:rFonts w:ascii="Cambria" w:eastAsia="Cambria" w:hAnsi="Cambria" w:cs="Cambria"/>
          <w:b/>
          <w:color w:val="000000"/>
        </w:rPr>
        <w:t>Landasan Teori</w:t>
      </w:r>
    </w:p>
    <w:p w14:paraId="5364E789"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b/>
          <w:bCs/>
          <w:color w:val="000000"/>
        </w:rPr>
      </w:pPr>
      <w:r w:rsidRPr="00DE0657">
        <w:rPr>
          <w:rFonts w:ascii="Cambria" w:eastAsia="Cambria" w:hAnsi="Cambria" w:cs="Cambria"/>
          <w:b/>
          <w:bCs/>
          <w:color w:val="000000"/>
        </w:rPr>
        <w:t>a. Konsep Subjective Well-Being (SWB) dan "The 8-Year-Old Gap"</w:t>
      </w:r>
    </w:p>
    <w:p w14:paraId="6113469D"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r w:rsidRPr="00DE0657">
        <w:rPr>
          <w:rFonts w:ascii="Cambria" w:eastAsia="Cambria" w:hAnsi="Cambria" w:cs="Cambria"/>
          <w:color w:val="000000"/>
        </w:rPr>
        <w:t>Subjective Well-Being (SWB) secara umum didefinisikan sebagai evaluasi kognitif dan afektif seseorang terhadap kehidupannya sendiri (OECD, 2025). Dalam konteks anak-anak, SWB bukan sekadar ketidakhadiran penyakit atau pemenuhan kebutuhan materi (kesejahteraan objektif), melainkan bagaimana anak secara mandiri memaknai kebahagiaan, keamanan, dan kualitas hubungan sosial mereka (Fattore et al., 2019).</w:t>
      </w:r>
    </w:p>
    <w:p w14:paraId="3B88D8B1"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r w:rsidRPr="00DE0657">
        <w:rPr>
          <w:rFonts w:ascii="Cambria" w:eastAsia="Cambria" w:hAnsi="Cambria" w:cs="Cambria"/>
          <w:color w:val="000000"/>
        </w:rPr>
        <w:lastRenderedPageBreak/>
        <w:t>Masalah mendasar dalam studi SWB global adalah adanya "The 8-Year-Old Gap". Fenomena ini merujuk pada kecenderungan instrumen internasional yang umumnya hanya menyasar anak usia 8 tahun ke atas karena asumsi positivistik bahwa anak di bawah usia tersebut belum memiliki kapasitas kognitif untuk memberikan penilaian subjektif yang valid (Rees, 2017). Kajian ini menggugat batasan tersebut dengan menegaskan kompetensi anak usia dini dalam mengekspresikan kesejahteraan melalui berbagai moda komunikasi.</w:t>
      </w:r>
    </w:p>
    <w:p w14:paraId="0BEDC81C"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b/>
          <w:bCs/>
          <w:color w:val="000000"/>
        </w:rPr>
      </w:pPr>
      <w:r w:rsidRPr="00DE0657">
        <w:rPr>
          <w:rFonts w:ascii="Cambria" w:eastAsia="Cambria" w:hAnsi="Cambria" w:cs="Cambria"/>
          <w:b/>
          <w:bCs/>
          <w:color w:val="000000"/>
        </w:rPr>
        <w:t>b. Child Agency: Anak sebagai Aktor Sosial Kompeten</w:t>
      </w:r>
    </w:p>
    <w:p w14:paraId="3C228A6D"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r w:rsidRPr="00DE0657">
        <w:rPr>
          <w:rFonts w:ascii="Cambria" w:eastAsia="Cambria" w:hAnsi="Cambria" w:cs="Cambria"/>
          <w:color w:val="000000"/>
        </w:rPr>
        <w:t>Paradigma sosiologi masa kanak-kanak baru memandang anak sebagai human beings yang memiliki agensi, bukan sekadar human becomings yang pasif (James &amp; Prout, 2015). Child Agency didefinisikan sebagai kapasitas anak untuk bertindak secara independen dan memengaruhi lingkungan sosialnya. Dalam penelitian ini, agensi dipahami dalam dua dimensi:</w:t>
      </w:r>
    </w:p>
    <w:p w14:paraId="1425508A" w14:textId="77777777" w:rsidR="00624518" w:rsidRPr="00DE0657" w:rsidRDefault="00624518" w:rsidP="00624518">
      <w:pPr>
        <w:pStyle w:val="ListParagraph"/>
        <w:numPr>
          <w:ilvl w:val="0"/>
          <w:numId w:val="10"/>
        </w:numPr>
        <w:pBdr>
          <w:top w:val="nil"/>
          <w:left w:val="nil"/>
          <w:bottom w:val="nil"/>
          <w:right w:val="nil"/>
          <w:between w:val="nil"/>
        </w:pBdr>
        <w:spacing w:line="360" w:lineRule="auto"/>
        <w:ind w:right="44"/>
        <w:jc w:val="both"/>
        <w:rPr>
          <w:rFonts w:ascii="Cambria" w:eastAsia="Cambria" w:hAnsi="Cambria" w:cs="Cambria"/>
          <w:color w:val="000000"/>
          <w:lang w:val="id-ID"/>
        </w:rPr>
      </w:pPr>
      <w:r w:rsidRPr="00DE0657">
        <w:rPr>
          <w:rFonts w:ascii="Cambria" w:eastAsia="Cambria" w:hAnsi="Cambria" w:cs="Cambria"/>
          <w:color w:val="000000"/>
          <w:lang w:val="id-ID"/>
        </w:rPr>
        <w:t>Agensi Individual: Kemampuan anak mengekspresikan preferensi pribadi.</w:t>
      </w:r>
    </w:p>
    <w:p w14:paraId="768F88E9" w14:textId="77777777" w:rsidR="00624518" w:rsidRPr="00DE0657" w:rsidRDefault="00624518" w:rsidP="00624518">
      <w:pPr>
        <w:pStyle w:val="ListParagraph"/>
        <w:numPr>
          <w:ilvl w:val="0"/>
          <w:numId w:val="10"/>
        </w:numPr>
        <w:pBdr>
          <w:top w:val="nil"/>
          <w:left w:val="nil"/>
          <w:bottom w:val="nil"/>
          <w:right w:val="nil"/>
          <w:between w:val="nil"/>
        </w:pBdr>
        <w:spacing w:line="360" w:lineRule="auto"/>
        <w:ind w:right="44"/>
        <w:jc w:val="both"/>
        <w:rPr>
          <w:rFonts w:ascii="Cambria" w:eastAsia="Cambria" w:hAnsi="Cambria" w:cs="Cambria"/>
          <w:color w:val="000000"/>
          <w:lang w:val="id-ID"/>
        </w:rPr>
      </w:pPr>
      <w:r w:rsidRPr="00DE0657">
        <w:rPr>
          <w:rFonts w:ascii="Cambria" w:eastAsia="Cambria" w:hAnsi="Cambria" w:cs="Cambria"/>
          <w:color w:val="000000"/>
          <w:lang w:val="id-ID"/>
        </w:rPr>
        <w:t>Agensi Relasional: Kapasitas negosiasi anak dalam hubungannya dengan orang dewasa (Mayall, 2015).</w:t>
      </w:r>
    </w:p>
    <w:p w14:paraId="7B84371F"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b/>
          <w:bCs/>
          <w:color w:val="000000"/>
        </w:rPr>
      </w:pPr>
      <w:r w:rsidRPr="00DE0657">
        <w:rPr>
          <w:rFonts w:ascii="Cambria" w:eastAsia="Cambria" w:hAnsi="Cambria" w:cs="Cambria"/>
          <w:b/>
          <w:bCs/>
          <w:color w:val="000000"/>
        </w:rPr>
        <w:t>c. Adultisme dan Kritik "Childism"</w:t>
      </w:r>
    </w:p>
    <w:p w14:paraId="1A43906F"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r w:rsidRPr="00DE0657">
        <w:rPr>
          <w:rFonts w:ascii="Cambria" w:eastAsia="Cambria" w:hAnsi="Cambria" w:cs="Cambria"/>
          <w:color w:val="000000"/>
        </w:rPr>
        <w:t>Adultisme merupakan prasangka sistemik yang menganggap orang dewasa secara inheren lebih unggul dari anak (Wall, 2024). Fenomena ini melahirkan "Kebahagiaan Titipan", di mana standar kesejahteraan anak ditentukan secara sepihak oleh orang dewasa yang sering kali mereduksi kebahagiaan menjadi sekadar kepatuhan atau keteraturan kelas. Melalui kerangka Childism, kajian ini menuntut dekonstruksi norma adult-centric untuk membuka ruang bagi kedaulatan subjektif anak (Wall, 2024).</w:t>
      </w:r>
    </w:p>
    <w:p w14:paraId="2D08A2A8"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b/>
          <w:bCs/>
          <w:color w:val="000000"/>
        </w:rPr>
      </w:pPr>
      <w:r w:rsidRPr="00DE0657">
        <w:rPr>
          <w:rFonts w:ascii="Cambria" w:eastAsia="Cambria" w:hAnsi="Cambria" w:cs="Cambria"/>
          <w:b/>
          <w:bCs/>
          <w:color w:val="000000"/>
        </w:rPr>
        <w:t>d. Model Partisipasi Lundy</w:t>
      </w:r>
    </w:p>
    <w:p w14:paraId="3F54C094" w14:textId="77777777" w:rsidR="00624518" w:rsidRPr="00DE0657" w:rsidRDefault="00624518"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r w:rsidRPr="00DE0657">
        <w:rPr>
          <w:rFonts w:ascii="Cambria" w:eastAsia="Cambria" w:hAnsi="Cambria" w:cs="Cambria"/>
          <w:color w:val="000000"/>
        </w:rPr>
        <w:t>Kajian ini menggunakan kerangka Lundy (2007) untuk membedah realitas agensi melalui empat elemen: Space (Ruang), Voice (Suara), Audience (Pendengar), dan Influence (Pengaruh). Kerangka ini mendeteksi praktik partisipasi "tokenistik" yang memberikan suara namun mengabaikan pengaruh nyata anak terhadap keputusan (Lundy, 2007).</w:t>
      </w:r>
    </w:p>
    <w:p w14:paraId="1457A526" w14:textId="77777777" w:rsidR="00217892" w:rsidRPr="00DE0657" w:rsidRDefault="00217892" w:rsidP="00624518">
      <w:pPr>
        <w:pBdr>
          <w:top w:val="nil"/>
          <w:left w:val="nil"/>
          <w:bottom w:val="nil"/>
          <w:right w:val="nil"/>
          <w:between w:val="nil"/>
        </w:pBdr>
        <w:spacing w:after="0" w:line="360" w:lineRule="auto"/>
        <w:ind w:left="360" w:right="44" w:firstLine="720"/>
        <w:jc w:val="both"/>
        <w:rPr>
          <w:rFonts w:ascii="Cambria" w:eastAsia="Cambria" w:hAnsi="Cambria" w:cs="Cambria"/>
          <w:color w:val="000000"/>
        </w:rPr>
      </w:pPr>
    </w:p>
    <w:p w14:paraId="01675144" w14:textId="77777777" w:rsidR="00217892" w:rsidRPr="00DE0657" w:rsidRDefault="00D555F2">
      <w:pPr>
        <w:numPr>
          <w:ilvl w:val="0"/>
          <w:numId w:val="2"/>
        </w:numPr>
        <w:pBdr>
          <w:top w:val="nil"/>
          <w:left w:val="nil"/>
          <w:bottom w:val="nil"/>
          <w:right w:val="nil"/>
          <w:between w:val="nil"/>
        </w:pBdr>
        <w:spacing w:after="0" w:line="276" w:lineRule="auto"/>
        <w:ind w:right="44"/>
        <w:jc w:val="both"/>
        <w:rPr>
          <w:rFonts w:ascii="Cambria" w:eastAsia="Cambria" w:hAnsi="Cambria" w:cs="Cambria"/>
          <w:color w:val="000000"/>
        </w:rPr>
      </w:pPr>
      <w:r w:rsidRPr="00DE0657">
        <w:rPr>
          <w:rFonts w:ascii="Cambria" w:eastAsia="Cambria" w:hAnsi="Cambria" w:cs="Cambria"/>
          <w:b/>
          <w:color w:val="000000"/>
        </w:rPr>
        <w:t>Metodologi</w:t>
      </w:r>
      <w:r w:rsidRPr="00DE0657">
        <w:rPr>
          <w:rFonts w:ascii="Cambria" w:eastAsia="Cambria" w:hAnsi="Cambria" w:cs="Cambria"/>
          <w:color w:val="000000"/>
        </w:rPr>
        <w:t xml:space="preserve"> </w:t>
      </w:r>
      <w:r w:rsidRPr="00DE0657">
        <w:rPr>
          <w:rFonts w:ascii="Cambria" w:eastAsia="Cambria" w:hAnsi="Cambria" w:cs="Cambria"/>
          <w:b/>
          <w:color w:val="000000"/>
        </w:rPr>
        <w:t>Penelitian</w:t>
      </w:r>
    </w:p>
    <w:p w14:paraId="52FC8D37"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 xml:space="preserve">Penelitian ini menggunakan desain </w:t>
      </w:r>
      <w:r w:rsidRPr="00DE0657">
        <w:rPr>
          <w:rFonts w:asciiTheme="majorHAnsi" w:eastAsia="Tahoma" w:hAnsiTheme="majorHAnsi" w:cs="Tahoma"/>
          <w:bCs/>
          <w:i/>
          <w:iCs/>
          <w:color w:val="000000"/>
        </w:rPr>
        <w:t>Integrative Literature Review</w:t>
      </w:r>
      <w:r w:rsidRPr="00DE0657">
        <w:rPr>
          <w:rFonts w:asciiTheme="majorHAnsi" w:eastAsia="Tahoma" w:hAnsiTheme="majorHAnsi" w:cs="Tahoma"/>
          <w:bCs/>
          <w:color w:val="000000"/>
        </w:rPr>
        <w:t xml:space="preserve"> dengan pendekatan </w:t>
      </w:r>
      <w:r w:rsidRPr="00DE0657">
        <w:rPr>
          <w:rFonts w:asciiTheme="majorHAnsi" w:eastAsia="Tahoma" w:hAnsiTheme="majorHAnsi" w:cs="Tahoma"/>
          <w:bCs/>
          <w:i/>
          <w:iCs/>
          <w:color w:val="000000"/>
        </w:rPr>
        <w:t>Critical Interpretive Synthesis</w:t>
      </w:r>
      <w:r w:rsidRPr="00DE0657">
        <w:rPr>
          <w:rFonts w:asciiTheme="majorHAnsi" w:eastAsia="Tahoma" w:hAnsiTheme="majorHAnsi" w:cs="Tahoma"/>
          <w:bCs/>
          <w:color w:val="000000"/>
        </w:rPr>
        <w:t xml:space="preserve"> (CIS). Pendekatan CIS dipilih karena sifatnya yang refleksif dan rekursif, yang memungkinkan peneliti untuk secara terus-menerus </w:t>
      </w:r>
      <w:r w:rsidRPr="00DE0657">
        <w:rPr>
          <w:rFonts w:asciiTheme="majorHAnsi" w:eastAsia="Tahoma" w:hAnsiTheme="majorHAnsi" w:cs="Tahoma"/>
          <w:bCs/>
          <w:color w:val="000000"/>
        </w:rPr>
        <w:lastRenderedPageBreak/>
        <w:t>kembali pada literatur guna mempertajam kritik terhadap asumsi teoretis yang telah mapan. Dengan demikian, metode ini tidak hanya berfungsi untuk merangkum temuan, tetapi juga untuk merekonstruksi pemahaman konseptual secara kritis.</w:t>
      </w:r>
    </w:p>
    <w:p w14:paraId="3DC250BF"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 xml:space="preserve">Objek penelitian mencakup 32 literatur primer yang terdiri atas jurnal bereputasi, buku kunci, dan pedoman internasional yang dipublikasikan dalam rentang tahun 2015–2025. Pemilihan literatur dilakukan secara purposif dengan mempertimbangkan relevansi terhadap tiga fokus utama, yaitu </w:t>
      </w:r>
      <w:r w:rsidRPr="00DE0657">
        <w:rPr>
          <w:rFonts w:asciiTheme="majorHAnsi" w:eastAsia="Tahoma" w:hAnsiTheme="majorHAnsi" w:cs="Tahoma"/>
          <w:bCs/>
          <w:i/>
          <w:iCs/>
          <w:color w:val="000000"/>
        </w:rPr>
        <w:t>Subjective Well-Being</w:t>
      </w:r>
      <w:r w:rsidRPr="00DE0657">
        <w:rPr>
          <w:rFonts w:asciiTheme="majorHAnsi" w:eastAsia="Tahoma" w:hAnsiTheme="majorHAnsi" w:cs="Tahoma"/>
          <w:bCs/>
          <w:color w:val="000000"/>
        </w:rPr>
        <w:t xml:space="preserve"> (SWB), </w:t>
      </w:r>
      <w:r w:rsidRPr="00DE0657">
        <w:rPr>
          <w:rFonts w:asciiTheme="majorHAnsi" w:eastAsia="Tahoma" w:hAnsiTheme="majorHAnsi" w:cs="Tahoma"/>
          <w:bCs/>
          <w:i/>
          <w:iCs/>
          <w:color w:val="000000"/>
        </w:rPr>
        <w:t>child agency</w:t>
      </w:r>
      <w:r w:rsidRPr="00DE0657">
        <w:rPr>
          <w:rFonts w:asciiTheme="majorHAnsi" w:eastAsia="Tahoma" w:hAnsiTheme="majorHAnsi" w:cs="Tahoma"/>
          <w:bCs/>
          <w:color w:val="000000"/>
        </w:rPr>
        <w:t>, dan hak anak dalam konteks pendidikan anak usia dini.</w:t>
      </w:r>
    </w:p>
    <w:p w14:paraId="62A07A17"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 xml:space="preserve">Instrumen penelitian yang digunakan adalah </w:t>
      </w:r>
      <w:r w:rsidRPr="00DE0657">
        <w:rPr>
          <w:rFonts w:asciiTheme="majorHAnsi" w:eastAsia="Tahoma" w:hAnsiTheme="majorHAnsi" w:cs="Tahoma"/>
          <w:bCs/>
          <w:i/>
          <w:iCs/>
          <w:color w:val="000000"/>
        </w:rPr>
        <w:t>Thematic Mapping Matrix</w:t>
      </w:r>
      <w:r w:rsidRPr="00DE0657">
        <w:rPr>
          <w:rFonts w:asciiTheme="majorHAnsi" w:eastAsia="Tahoma" w:hAnsiTheme="majorHAnsi" w:cs="Tahoma"/>
          <w:bCs/>
          <w:color w:val="000000"/>
        </w:rPr>
        <w:t xml:space="preserve">, yang dirancang untuk mengidentifikasi, mengorganisasi, serta mendekonstruksi bias </w:t>
      </w:r>
      <w:r w:rsidRPr="00DE0657">
        <w:rPr>
          <w:rFonts w:asciiTheme="majorHAnsi" w:eastAsia="Tahoma" w:hAnsiTheme="majorHAnsi" w:cs="Tahoma"/>
          <w:bCs/>
          <w:i/>
          <w:iCs/>
          <w:color w:val="000000"/>
        </w:rPr>
        <w:t>adult-centric</w:t>
      </w:r>
      <w:r w:rsidRPr="00DE0657">
        <w:rPr>
          <w:rFonts w:asciiTheme="majorHAnsi" w:eastAsia="Tahoma" w:hAnsiTheme="majorHAnsi" w:cs="Tahoma"/>
          <w:bCs/>
          <w:color w:val="000000"/>
        </w:rPr>
        <w:t xml:space="preserve"> dalam berbagai instrumen pengukuran kesejahteraan anak. Instrumen ini memungkinkan peneliti untuk memetakan hubungan konseptual antar literatur secara sistematis.</w:t>
      </w:r>
    </w:p>
    <w:p w14:paraId="4178A1DE"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Strategi penghimpunan data dalam penelitian ini diimplementasikan melalui skema penelusuran pustaka yang sistematis dan disiplin terhadap berbagai basis data ilmiah global, khususnya Scopus, ScienceDirect, serta SINTA, dengan memanfaatkan deskriptor atau istilah kunci yang relevan guna mencerminkan cakupan substansi kajian secara akurat. Proses ini meliputi tahap identifikasi, seleksi, penyaringan, dan penetapan literatur akhir yang sesuai dengan kriteria inklusi penelitian.</w:t>
      </w:r>
    </w:p>
    <w:p w14:paraId="4BE68F80"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 xml:space="preserve">Prosedur pengolahan data dalam kajian ini mengadopsi skema koding tematik interpretif, yang dielaborasi secara sistematis melalui tiga fase konseptual, yakni: (1) </w:t>
      </w:r>
      <w:r w:rsidRPr="00DE0657">
        <w:rPr>
          <w:rFonts w:asciiTheme="majorHAnsi" w:eastAsia="Tahoma" w:hAnsiTheme="majorHAnsi" w:cs="Tahoma"/>
          <w:bCs/>
          <w:i/>
          <w:iCs/>
          <w:color w:val="000000"/>
        </w:rPr>
        <w:t>Open Coding</w:t>
      </w:r>
      <w:r w:rsidRPr="00DE0657">
        <w:rPr>
          <w:rFonts w:asciiTheme="majorHAnsi" w:eastAsia="Tahoma" w:hAnsiTheme="majorHAnsi" w:cs="Tahoma"/>
          <w:bCs/>
          <w:color w:val="000000"/>
        </w:rPr>
        <w:t xml:space="preserve">, untuk mengidentifikasi konsep awal seperti “kebahagiaan titipan” yang muncul dalam literatur; (2) </w:t>
      </w:r>
      <w:r w:rsidRPr="00DE0657">
        <w:rPr>
          <w:rFonts w:asciiTheme="majorHAnsi" w:eastAsia="Tahoma" w:hAnsiTheme="majorHAnsi" w:cs="Tahoma"/>
          <w:bCs/>
          <w:i/>
          <w:iCs/>
          <w:color w:val="000000"/>
        </w:rPr>
        <w:t>Axial Coding</w:t>
      </w:r>
      <w:r w:rsidRPr="00DE0657">
        <w:rPr>
          <w:rFonts w:asciiTheme="majorHAnsi" w:eastAsia="Tahoma" w:hAnsiTheme="majorHAnsi" w:cs="Tahoma"/>
          <w:bCs/>
          <w:color w:val="000000"/>
        </w:rPr>
        <w:t xml:space="preserve">, untuk menghubungkan konsep agensi anak dengan faktor pelindung kesehatan mental; dan (3) </w:t>
      </w:r>
      <w:r w:rsidRPr="00DE0657">
        <w:rPr>
          <w:rFonts w:asciiTheme="majorHAnsi" w:eastAsia="Tahoma" w:hAnsiTheme="majorHAnsi" w:cs="Tahoma"/>
          <w:bCs/>
          <w:i/>
          <w:iCs/>
          <w:color w:val="000000"/>
        </w:rPr>
        <w:t>Selective Coding</w:t>
      </w:r>
      <w:r w:rsidRPr="00DE0657">
        <w:rPr>
          <w:rFonts w:asciiTheme="majorHAnsi" w:eastAsia="Tahoma" w:hAnsiTheme="majorHAnsi" w:cs="Tahoma"/>
          <w:bCs/>
          <w:color w:val="000000"/>
        </w:rPr>
        <w:t>, untuk mensintesis berbagai kategori menjadi tema sentral berupa “Dialogic Well-Being” sebagai kerangka konseptual utama dalam penelitian ini.</w:t>
      </w:r>
    </w:p>
    <w:p w14:paraId="671BF0C6"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p>
    <w:p w14:paraId="35F0BC83" w14:textId="77777777" w:rsidR="00624518" w:rsidRPr="00DE0657" w:rsidRDefault="00624518" w:rsidP="00624518">
      <w:pPr>
        <w:spacing w:after="0" w:line="360" w:lineRule="auto"/>
        <w:ind w:left="426" w:firstLine="708"/>
        <w:jc w:val="center"/>
        <w:rPr>
          <w:rFonts w:asciiTheme="majorHAnsi" w:eastAsia="Tahoma" w:hAnsiTheme="majorHAnsi" w:cs="Tahoma"/>
          <w:bCs/>
          <w:color w:val="000000"/>
        </w:rPr>
      </w:pPr>
      <w:r w:rsidRPr="00DE0657">
        <w:rPr>
          <w:rFonts w:asciiTheme="majorHAnsi" w:eastAsia="Tahoma" w:hAnsiTheme="majorHAnsi" w:cs="Tahoma"/>
          <w:bCs/>
          <w:noProof/>
          <w:color w:val="000000"/>
        </w:rPr>
        <w:lastRenderedPageBreak/>
        <w:drawing>
          <wp:inline distT="0" distB="0" distL="0" distR="0" wp14:anchorId="2815E2C6" wp14:editId="6AA98E9C">
            <wp:extent cx="2457450" cy="3316660"/>
            <wp:effectExtent l="0" t="0" r="0" b="0"/>
            <wp:docPr id="10443343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34390" name="Picture 1044334390"/>
                    <pic:cNvPicPr/>
                  </pic:nvPicPr>
                  <pic:blipFill rotWithShape="1">
                    <a:blip r:embed="rId12" cstate="print">
                      <a:extLst>
                        <a:ext uri="{28A0092B-C50C-407E-A947-70E740481C1C}">
                          <a14:useLocalDpi xmlns:a14="http://schemas.microsoft.com/office/drawing/2010/main" val="0"/>
                        </a:ext>
                      </a:extLst>
                    </a:blip>
                    <a:srcRect l="3721" t="2223" r="2740" b="3512"/>
                    <a:stretch>
                      <a:fillRect/>
                    </a:stretch>
                  </pic:blipFill>
                  <pic:spPr bwMode="auto">
                    <a:xfrm>
                      <a:off x="0" y="0"/>
                      <a:ext cx="2458583" cy="3318189"/>
                    </a:xfrm>
                    <a:prstGeom prst="rect">
                      <a:avLst/>
                    </a:prstGeom>
                    <a:ln>
                      <a:noFill/>
                    </a:ln>
                    <a:extLst>
                      <a:ext uri="{53640926-AAD7-44D8-BBD7-CCE9431645EC}">
                        <a14:shadowObscured xmlns:a14="http://schemas.microsoft.com/office/drawing/2010/main"/>
                      </a:ext>
                    </a:extLst>
                  </pic:spPr>
                </pic:pic>
              </a:graphicData>
            </a:graphic>
          </wp:inline>
        </w:drawing>
      </w:r>
    </w:p>
    <w:p w14:paraId="6F7CCC99" w14:textId="77777777" w:rsidR="00624518" w:rsidRPr="00DE0657" w:rsidRDefault="00624518" w:rsidP="00624518">
      <w:pPr>
        <w:spacing w:after="0" w:line="360" w:lineRule="auto"/>
        <w:ind w:left="426" w:firstLine="708"/>
        <w:jc w:val="center"/>
        <w:rPr>
          <w:rFonts w:asciiTheme="majorHAnsi" w:eastAsia="Tahoma" w:hAnsiTheme="majorHAnsi" w:cs="Tahoma"/>
          <w:bCs/>
          <w:color w:val="000000"/>
        </w:rPr>
      </w:pPr>
    </w:p>
    <w:p w14:paraId="21C1EFB6" w14:textId="77777777" w:rsidR="00624518" w:rsidRPr="00DE0657" w:rsidRDefault="00624518" w:rsidP="00624518">
      <w:pPr>
        <w:spacing w:after="0" w:line="360" w:lineRule="auto"/>
        <w:ind w:left="426" w:firstLine="708"/>
        <w:jc w:val="both"/>
        <w:rPr>
          <w:rFonts w:asciiTheme="majorHAnsi" w:eastAsia="Tahoma" w:hAnsiTheme="majorHAnsi" w:cs="Tahoma"/>
          <w:bCs/>
          <w:color w:val="000000"/>
        </w:rPr>
      </w:pPr>
      <w:r w:rsidRPr="00DE0657">
        <w:rPr>
          <w:rFonts w:asciiTheme="majorHAnsi" w:eastAsia="Tahoma" w:hAnsiTheme="majorHAnsi" w:cs="Tahoma"/>
          <w:bCs/>
          <w:color w:val="000000"/>
        </w:rPr>
        <w:t>Untuk memperjelas alur penelitian yang bersifat sistematis sekaligus rekursif, seluruh tahapan penelitian divisualisasikan dalam bentuk diagram alur. Visualisasi ini bertujuan untuk memberikan gambaran yang lebih komprehensif mengenai proses seleksi literatur hingga tahap sintesis konseptual.</w:t>
      </w:r>
    </w:p>
    <w:p w14:paraId="25F4BCBC" w14:textId="77777777" w:rsidR="00217892" w:rsidRPr="00DE0657" w:rsidRDefault="00217892">
      <w:pPr>
        <w:pBdr>
          <w:top w:val="nil"/>
          <w:left w:val="nil"/>
          <w:bottom w:val="nil"/>
          <w:right w:val="nil"/>
          <w:between w:val="nil"/>
        </w:pBdr>
        <w:spacing w:after="0" w:line="276" w:lineRule="auto"/>
        <w:ind w:left="360" w:right="44"/>
        <w:jc w:val="both"/>
        <w:rPr>
          <w:rFonts w:ascii="Cambria" w:eastAsia="Cambria" w:hAnsi="Cambria" w:cs="Cambria"/>
          <w:color w:val="000000"/>
        </w:rPr>
      </w:pPr>
    </w:p>
    <w:p w14:paraId="38F938F6" w14:textId="77777777" w:rsidR="00217892" w:rsidRPr="00DE0657" w:rsidRDefault="00D555F2">
      <w:pPr>
        <w:numPr>
          <w:ilvl w:val="0"/>
          <w:numId w:val="2"/>
        </w:numPr>
        <w:pBdr>
          <w:top w:val="nil"/>
          <w:left w:val="nil"/>
          <w:bottom w:val="nil"/>
          <w:right w:val="nil"/>
          <w:between w:val="nil"/>
        </w:pBdr>
        <w:spacing w:after="0" w:line="276" w:lineRule="auto"/>
        <w:ind w:right="1283"/>
        <w:rPr>
          <w:rFonts w:ascii="Cambria" w:eastAsia="Cambria" w:hAnsi="Cambria" w:cs="Cambria"/>
          <w:b/>
          <w:color w:val="000000"/>
        </w:rPr>
      </w:pPr>
      <w:r w:rsidRPr="00DE0657">
        <w:rPr>
          <w:rFonts w:ascii="Cambria" w:eastAsia="Cambria" w:hAnsi="Cambria" w:cs="Cambria"/>
          <w:b/>
          <w:color w:val="000000"/>
        </w:rPr>
        <w:t>Pembahasan</w:t>
      </w:r>
    </w:p>
    <w:p w14:paraId="406CEC16" w14:textId="0B5EC106" w:rsidR="00624518" w:rsidRPr="00DE0657" w:rsidRDefault="00624518" w:rsidP="00A46281">
      <w:pPr>
        <w:pStyle w:val="ListParagraph"/>
        <w:numPr>
          <w:ilvl w:val="1"/>
          <w:numId w:val="2"/>
        </w:numPr>
        <w:spacing w:line="360" w:lineRule="auto"/>
        <w:jc w:val="both"/>
        <w:rPr>
          <w:rFonts w:asciiTheme="majorHAnsi" w:eastAsia="Tahoma" w:hAnsiTheme="majorHAnsi" w:cs="Tahoma"/>
          <w:b/>
          <w:bCs/>
          <w:color w:val="000000"/>
          <w:sz w:val="22"/>
          <w:szCs w:val="22"/>
          <w:lang w:val="id-ID"/>
        </w:rPr>
      </w:pPr>
      <w:r w:rsidRPr="00DE0657">
        <w:rPr>
          <w:rFonts w:asciiTheme="majorHAnsi" w:eastAsia="Tahoma" w:hAnsiTheme="majorHAnsi" w:cs="Tahoma"/>
          <w:b/>
          <w:bCs/>
          <w:color w:val="000000"/>
          <w:sz w:val="22"/>
          <w:szCs w:val="22"/>
          <w:lang w:val="id-ID"/>
        </w:rPr>
        <w:t>Pergeseran Paradigma Kesejahteraan Anak: Antara Proteksi, Partisipasi, dan Dialog</w:t>
      </w:r>
    </w:p>
    <w:p w14:paraId="2DA9CDAD"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Sintesis lintas 32 literatur terpilih menunjukkan adanya transformasi konseptual yang signifikan dalam memandang kesejahteraan anak usia dini. Temuan mengarah pada tiga pola utama. Pertama, terdapat korelasi positif yang konsisten antara tingkat agensi anak dengan kepuasan subjektif harian dalam konteks pendidikan anak usia dini. Hal ini mengindikasikan bahwa Subjective Well-Being (SWB) tidak dapat lagi dipahami sebagai kondisi psikologis yang statis, melainkan sebagai fenomena yang bersifat dinamis dan relasional, yang tumbuh melalui interaksi anak dengan lingkungannya.</w:t>
      </w:r>
    </w:p>
    <w:p w14:paraId="66443CD6"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 xml:space="preserve">Kedua, literatur menunjukkan adanya kontradiksi struktural antara kebijakan kurikulum yang terlalu terstandarisasi dengan kebutuhan anak untuk mengekspresikan agensi. Lingkungan belajar yang berorientasi pada ketertiban dan kontrol sering kali secara tidak langsung menekan ekspresi emosi positif anak </w:t>
      </w:r>
      <w:r w:rsidRPr="00DE0657">
        <w:rPr>
          <w:rFonts w:asciiTheme="majorHAnsi" w:eastAsia="Tahoma" w:hAnsiTheme="majorHAnsi" w:cs="Tahoma"/>
          <w:color w:val="000000"/>
        </w:rPr>
        <w:lastRenderedPageBreak/>
        <w:t>(Biddulph, 2021). Dalam konteks ini, keteraturan yang diciptakan oleh orang dewasa justru berpotensi mengikis pengalaman kebahagiaan yang autentik.</w:t>
      </w:r>
    </w:p>
    <w:p w14:paraId="62DED986"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 xml:space="preserve">Ketiga, terdapat pergeseran paradigma kesejahteraan dari model protektif (anak sebagai objek perlindungan), menuju partisipatif (anak sebagai subjek dengan suara), hingga mengarah pada paradigma dialogis, di mana kesejahteraan dipahami sebagai hasil negosiasi antara anak dan lingkungan sosialnya. Namun demikian, sintesis ini juga mengidentifikasi sebuah titik buta dalam literatur global yang disebut sebagai </w:t>
      </w:r>
      <w:r w:rsidRPr="00DE0657">
        <w:rPr>
          <w:rFonts w:asciiTheme="majorHAnsi" w:eastAsia="Tahoma" w:hAnsiTheme="majorHAnsi" w:cs="Tahoma"/>
          <w:i/>
          <w:iCs/>
          <w:color w:val="000000"/>
        </w:rPr>
        <w:t>The 8-Year-Old Gap</w:t>
      </w:r>
      <w:r w:rsidRPr="00DE0657">
        <w:rPr>
          <w:rFonts w:asciiTheme="majorHAnsi" w:eastAsia="Tahoma" w:hAnsiTheme="majorHAnsi" w:cs="Tahoma"/>
          <w:color w:val="000000"/>
        </w:rPr>
        <w:t>. Mayoritas instrumen pengukuran SWB internasional masih mengabaikan anak di bawah usia delapan tahun dengan alasan keterbatasan kognitif. Kondisi ini menempatkan anak usia dini sebagai kelompok paling rentan terhadap konstruksi “kebahagiaan titipan”, yaitu kebahagiaan yang didefinisikan sepihak oleh orang dewasa tanpa validasi pengalaman subjektif anak.</w:t>
      </w:r>
    </w:p>
    <w:p w14:paraId="1A4BC638"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68001255" w14:textId="09C74179" w:rsidR="00624518" w:rsidRPr="00DE0657" w:rsidRDefault="00624518" w:rsidP="00A46281">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Konstelasi Teoretis antara Agensi dan Kesejahteraan Subjektif</w:t>
      </w:r>
    </w:p>
    <w:p w14:paraId="65CC255D"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Untuk memahami hubungan konseptual antara agensi, relasi kuasa, dan kesejahteraan subjektif, sintesis kritis terhadap literatur kunci disajikan pada Tabel 1.</w:t>
      </w:r>
    </w:p>
    <w:p w14:paraId="63C23C7F"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Tabel 1. Matriks Analisis Kritis Critical Interpretive Synthesis (CIS)</w:t>
      </w:r>
    </w:p>
    <w:tbl>
      <w:tblPr>
        <w:tblStyle w:val="TableGrid"/>
        <w:tblW w:w="8082" w:type="dxa"/>
        <w:tblInd w:w="534" w:type="dxa"/>
        <w:tblLook w:val="04A0" w:firstRow="1" w:lastRow="0" w:firstColumn="1" w:lastColumn="0" w:noHBand="0" w:noVBand="1"/>
      </w:tblPr>
      <w:tblGrid>
        <w:gridCol w:w="1795"/>
        <w:gridCol w:w="1251"/>
        <w:gridCol w:w="2395"/>
        <w:gridCol w:w="2641"/>
      </w:tblGrid>
      <w:tr w:rsidR="00A46281" w:rsidRPr="00A46281" w14:paraId="6ADC77DA" w14:textId="77777777" w:rsidTr="00A46281">
        <w:tc>
          <w:tcPr>
            <w:tcW w:w="0" w:type="auto"/>
            <w:hideMark/>
          </w:tcPr>
          <w:p w14:paraId="14317E6B" w14:textId="77777777" w:rsidR="00A46281" w:rsidRPr="00A46281" w:rsidRDefault="00A46281" w:rsidP="00A46281">
            <w:pPr>
              <w:spacing w:line="300" w:lineRule="atLeast"/>
              <w:jc w:val="center"/>
              <w:rPr>
                <w:rFonts w:asciiTheme="majorHAnsi" w:hAnsiTheme="majorHAnsi" w:cs="Arial"/>
                <w:b/>
                <w:bCs/>
                <w:color w:val="1F1F1F"/>
                <w:sz w:val="21"/>
                <w:szCs w:val="21"/>
                <w:lang w:eastAsia="en-ID"/>
              </w:rPr>
            </w:pPr>
            <w:r w:rsidRPr="00A46281">
              <w:rPr>
                <w:rFonts w:asciiTheme="majorHAnsi" w:hAnsiTheme="majorHAnsi" w:cs="Arial"/>
                <w:b/>
                <w:bCs/>
                <w:color w:val="1F1F1F"/>
                <w:sz w:val="21"/>
                <w:szCs w:val="21"/>
                <w:lang w:eastAsia="en-ID"/>
              </w:rPr>
              <w:t>Penulis/Sumber</w:t>
            </w:r>
          </w:p>
        </w:tc>
        <w:tc>
          <w:tcPr>
            <w:tcW w:w="0" w:type="auto"/>
            <w:hideMark/>
          </w:tcPr>
          <w:p w14:paraId="49CB857E" w14:textId="77777777" w:rsidR="00A46281" w:rsidRPr="00A46281" w:rsidRDefault="00A46281" w:rsidP="00A46281">
            <w:pPr>
              <w:spacing w:line="300" w:lineRule="atLeast"/>
              <w:jc w:val="center"/>
              <w:rPr>
                <w:rFonts w:asciiTheme="majorHAnsi" w:hAnsiTheme="majorHAnsi" w:cs="Arial"/>
                <w:b/>
                <w:bCs/>
                <w:color w:val="1F1F1F"/>
                <w:sz w:val="21"/>
                <w:szCs w:val="21"/>
                <w:lang w:eastAsia="en-ID"/>
              </w:rPr>
            </w:pPr>
            <w:r w:rsidRPr="00A46281">
              <w:rPr>
                <w:rFonts w:asciiTheme="majorHAnsi" w:hAnsiTheme="majorHAnsi" w:cs="Arial"/>
                <w:b/>
                <w:bCs/>
                <w:color w:val="1F1F1F"/>
                <w:sz w:val="21"/>
                <w:szCs w:val="21"/>
                <w:lang w:eastAsia="en-ID"/>
              </w:rPr>
              <w:t>Fokus Konsep</w:t>
            </w:r>
          </w:p>
        </w:tc>
        <w:tc>
          <w:tcPr>
            <w:tcW w:w="0" w:type="auto"/>
            <w:hideMark/>
          </w:tcPr>
          <w:p w14:paraId="1FCD1C93" w14:textId="77777777" w:rsidR="00A46281" w:rsidRPr="00A46281" w:rsidRDefault="00A46281" w:rsidP="00A46281">
            <w:pPr>
              <w:spacing w:line="300" w:lineRule="atLeast"/>
              <w:jc w:val="center"/>
              <w:rPr>
                <w:rFonts w:asciiTheme="majorHAnsi" w:hAnsiTheme="majorHAnsi" w:cs="Arial"/>
                <w:b/>
                <w:bCs/>
                <w:color w:val="1F1F1F"/>
                <w:sz w:val="21"/>
                <w:szCs w:val="21"/>
                <w:lang w:eastAsia="en-ID"/>
              </w:rPr>
            </w:pPr>
            <w:r w:rsidRPr="00A46281">
              <w:rPr>
                <w:rFonts w:asciiTheme="majorHAnsi" w:hAnsiTheme="majorHAnsi" w:cs="Arial"/>
                <w:b/>
                <w:bCs/>
                <w:color w:val="1F1F1F"/>
                <w:sz w:val="21"/>
                <w:szCs w:val="21"/>
                <w:lang w:eastAsia="en-ID"/>
              </w:rPr>
              <w:t>Temuan Kunci</w:t>
            </w:r>
          </w:p>
        </w:tc>
        <w:tc>
          <w:tcPr>
            <w:tcW w:w="0" w:type="auto"/>
            <w:hideMark/>
          </w:tcPr>
          <w:p w14:paraId="1ACDF92A" w14:textId="77777777" w:rsidR="00A46281" w:rsidRPr="00A46281" w:rsidRDefault="00A46281" w:rsidP="00A46281">
            <w:pPr>
              <w:spacing w:line="300" w:lineRule="atLeast"/>
              <w:jc w:val="center"/>
              <w:rPr>
                <w:rFonts w:asciiTheme="majorHAnsi" w:hAnsiTheme="majorHAnsi" w:cs="Arial"/>
                <w:b/>
                <w:bCs/>
                <w:color w:val="1F1F1F"/>
                <w:sz w:val="21"/>
                <w:szCs w:val="21"/>
                <w:lang w:eastAsia="en-ID"/>
              </w:rPr>
            </w:pPr>
            <w:r w:rsidRPr="00A46281">
              <w:rPr>
                <w:rFonts w:asciiTheme="majorHAnsi" w:hAnsiTheme="majorHAnsi" w:cs="Arial"/>
                <w:b/>
                <w:bCs/>
                <w:color w:val="1F1F1F"/>
                <w:sz w:val="21"/>
                <w:szCs w:val="21"/>
                <w:lang w:eastAsia="en-ID"/>
              </w:rPr>
              <w:t>Implikasi terhadap SWB</w:t>
            </w:r>
          </w:p>
        </w:tc>
      </w:tr>
      <w:tr w:rsidR="00A46281" w:rsidRPr="00A46281" w14:paraId="277DDA1C" w14:textId="77777777" w:rsidTr="00A46281">
        <w:tc>
          <w:tcPr>
            <w:tcW w:w="0" w:type="auto"/>
            <w:hideMark/>
          </w:tcPr>
          <w:p w14:paraId="26EEDDDC"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OECD (2025)</w:t>
            </w:r>
          </w:p>
        </w:tc>
        <w:tc>
          <w:tcPr>
            <w:tcW w:w="0" w:type="auto"/>
            <w:hideMark/>
          </w:tcPr>
          <w:p w14:paraId="34C1F78C"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Modul SWB Baru</w:t>
            </w:r>
          </w:p>
        </w:tc>
        <w:tc>
          <w:tcPr>
            <w:tcW w:w="0" w:type="auto"/>
            <w:hideMark/>
          </w:tcPr>
          <w:p w14:paraId="1042794C"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Pengukuran SWB kini menyasar anak di bawah usia 8 tahun.</w:t>
            </w:r>
          </w:p>
        </w:tc>
        <w:tc>
          <w:tcPr>
            <w:tcW w:w="0" w:type="auto"/>
            <w:hideMark/>
          </w:tcPr>
          <w:p w14:paraId="61341E5E"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Mengisi "The 8-Year-Old Gap" dan memvalidasi suara subjektif anak usia dini.</w:t>
            </w:r>
          </w:p>
        </w:tc>
      </w:tr>
      <w:tr w:rsidR="00A46281" w:rsidRPr="00A46281" w14:paraId="12EF3C16" w14:textId="77777777" w:rsidTr="00A46281">
        <w:tc>
          <w:tcPr>
            <w:tcW w:w="0" w:type="auto"/>
            <w:hideMark/>
          </w:tcPr>
          <w:p w14:paraId="22253579"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Lundy (2007)</w:t>
            </w:r>
          </w:p>
        </w:tc>
        <w:tc>
          <w:tcPr>
            <w:tcW w:w="0" w:type="auto"/>
            <w:hideMark/>
          </w:tcPr>
          <w:p w14:paraId="08811982"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Space &amp; Influence</w:t>
            </w:r>
          </w:p>
        </w:tc>
        <w:tc>
          <w:tcPr>
            <w:tcW w:w="0" w:type="auto"/>
            <w:hideMark/>
          </w:tcPr>
          <w:p w14:paraId="5BBC4CB1"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Suara tanpa pengaruh nyata adalah pseudo-partisipasi.</w:t>
            </w:r>
          </w:p>
        </w:tc>
        <w:tc>
          <w:tcPr>
            <w:tcW w:w="0" w:type="auto"/>
            <w:hideMark/>
          </w:tcPr>
          <w:p w14:paraId="61D7128B"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SWB autentik tercapai jika suara anak memiliki dampak nyata pada keputusan kelas.</w:t>
            </w:r>
          </w:p>
        </w:tc>
      </w:tr>
      <w:tr w:rsidR="00A46281" w:rsidRPr="00A46281" w14:paraId="44E5BFD6" w14:textId="77777777" w:rsidTr="00A46281">
        <w:tc>
          <w:tcPr>
            <w:tcW w:w="0" w:type="auto"/>
            <w:hideMark/>
          </w:tcPr>
          <w:p w14:paraId="7EE0C672"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Wall (2024)</w:t>
            </w:r>
          </w:p>
        </w:tc>
        <w:tc>
          <w:tcPr>
            <w:tcW w:w="0" w:type="auto"/>
            <w:hideMark/>
          </w:tcPr>
          <w:p w14:paraId="1029F4EF"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Childism</w:t>
            </w:r>
          </w:p>
        </w:tc>
        <w:tc>
          <w:tcPr>
            <w:tcW w:w="0" w:type="auto"/>
            <w:hideMark/>
          </w:tcPr>
          <w:p w14:paraId="34A62F7E"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Adultisme secara sistemik membungkam agensi autentik anak.</w:t>
            </w:r>
          </w:p>
        </w:tc>
        <w:tc>
          <w:tcPr>
            <w:tcW w:w="0" w:type="auto"/>
            <w:hideMark/>
          </w:tcPr>
          <w:p w14:paraId="6678D73A"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Rekonstruksi SWB harus dimulai dengan membongkar bias dewasa dalam instrumen.</w:t>
            </w:r>
          </w:p>
        </w:tc>
      </w:tr>
      <w:tr w:rsidR="00A46281" w:rsidRPr="00A46281" w14:paraId="13621758" w14:textId="77777777" w:rsidTr="00A46281">
        <w:tc>
          <w:tcPr>
            <w:tcW w:w="0" w:type="auto"/>
            <w:hideMark/>
          </w:tcPr>
          <w:p w14:paraId="3CFD4092"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Fattore (2025)</w:t>
            </w:r>
          </w:p>
        </w:tc>
        <w:tc>
          <w:tcPr>
            <w:tcW w:w="0" w:type="auto"/>
            <w:hideMark/>
          </w:tcPr>
          <w:p w14:paraId="5AA2F3FC"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Power Relations</w:t>
            </w:r>
          </w:p>
        </w:tc>
        <w:tc>
          <w:tcPr>
            <w:tcW w:w="0" w:type="auto"/>
            <w:hideMark/>
          </w:tcPr>
          <w:p w14:paraId="3876E74F"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Relasi kuasa dalam riset dan praktik bersifat dinamis dan "messy".</w:t>
            </w:r>
          </w:p>
        </w:tc>
        <w:tc>
          <w:tcPr>
            <w:tcW w:w="0" w:type="auto"/>
            <w:hideMark/>
          </w:tcPr>
          <w:p w14:paraId="44949698"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Kesejahteraan merupakan hasil negosiasi kuasa yang aktif antara anak dan pendidik.</w:t>
            </w:r>
          </w:p>
        </w:tc>
      </w:tr>
      <w:tr w:rsidR="00A46281" w:rsidRPr="00A46281" w14:paraId="280ECE88" w14:textId="77777777" w:rsidTr="00A46281">
        <w:tc>
          <w:tcPr>
            <w:tcW w:w="0" w:type="auto"/>
            <w:hideMark/>
          </w:tcPr>
          <w:p w14:paraId="35264171"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Spyrou (2018)</w:t>
            </w:r>
          </w:p>
        </w:tc>
        <w:tc>
          <w:tcPr>
            <w:tcW w:w="0" w:type="auto"/>
            <w:hideMark/>
          </w:tcPr>
          <w:p w14:paraId="17A967EA"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Voice Neutrality</w:t>
            </w:r>
          </w:p>
        </w:tc>
        <w:tc>
          <w:tcPr>
            <w:tcW w:w="0" w:type="auto"/>
            <w:hideMark/>
          </w:tcPr>
          <w:p w14:paraId="59044A02" w14:textId="77777777" w:rsidR="00A46281" w:rsidRPr="00A46281" w:rsidRDefault="00A46281" w:rsidP="00A46281">
            <w:pPr>
              <w:spacing w:after="150"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t xml:space="preserve">Suara anak tidak pernah netral, melainkan </w:t>
            </w:r>
            <w:r w:rsidRPr="00A46281">
              <w:rPr>
                <w:rFonts w:asciiTheme="majorHAnsi" w:hAnsiTheme="majorHAnsi" w:cs="Arial"/>
                <w:color w:val="1F1F1F"/>
                <w:sz w:val="21"/>
                <w:szCs w:val="21"/>
                <w:lang w:eastAsia="en-ID"/>
              </w:rPr>
              <w:lastRenderedPageBreak/>
              <w:t>terkonstruksi secara sosial.</w:t>
            </w:r>
          </w:p>
        </w:tc>
        <w:tc>
          <w:tcPr>
            <w:tcW w:w="0" w:type="auto"/>
            <w:hideMark/>
          </w:tcPr>
          <w:p w14:paraId="14980BF1" w14:textId="77777777" w:rsidR="00A46281" w:rsidRPr="00A46281" w:rsidRDefault="00A46281" w:rsidP="00A46281">
            <w:pPr>
              <w:spacing w:line="300" w:lineRule="atLeast"/>
              <w:rPr>
                <w:rFonts w:asciiTheme="majorHAnsi" w:hAnsiTheme="majorHAnsi" w:cs="Arial"/>
                <w:color w:val="1F1F1F"/>
                <w:sz w:val="21"/>
                <w:szCs w:val="21"/>
                <w:lang w:eastAsia="en-ID"/>
              </w:rPr>
            </w:pPr>
            <w:r w:rsidRPr="00A46281">
              <w:rPr>
                <w:rFonts w:asciiTheme="majorHAnsi" w:hAnsiTheme="majorHAnsi" w:cs="Arial"/>
                <w:color w:val="1F1F1F"/>
                <w:sz w:val="21"/>
                <w:szCs w:val="21"/>
                <w:lang w:eastAsia="en-ID"/>
              </w:rPr>
              <w:lastRenderedPageBreak/>
              <w:t>Diperlukan refleksi kritis agar suara anak tidak direduksi menjadi sekadar data angka.</w:t>
            </w:r>
          </w:p>
        </w:tc>
      </w:tr>
    </w:tbl>
    <w:p w14:paraId="1E50196B" w14:textId="2E53BCCF" w:rsidR="00624518" w:rsidRPr="00DE0657" w:rsidRDefault="00624518" w:rsidP="00AE2012">
      <w:pPr>
        <w:spacing w:after="0" w:line="360" w:lineRule="auto"/>
        <w:ind w:firstLine="1134"/>
        <w:jc w:val="both"/>
        <w:rPr>
          <w:rFonts w:asciiTheme="majorHAnsi" w:eastAsia="Tahoma" w:hAnsiTheme="majorHAnsi" w:cs="Tahoma"/>
          <w:color w:val="000000"/>
        </w:rPr>
      </w:pPr>
      <w:r w:rsidRPr="00DE0657">
        <w:rPr>
          <w:rFonts w:asciiTheme="majorHAnsi" w:eastAsia="Tahoma" w:hAnsiTheme="majorHAnsi" w:cs="Tahoma"/>
          <w:color w:val="000000"/>
        </w:rPr>
        <w:t>Sumber: Analisis Peneliti, 2026</w:t>
      </w:r>
    </w:p>
    <w:p w14:paraId="01EBF278"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Interpretasi terhadap konstelasi teoretis ini menunjukkan bahwa kesejahteraan anak selama ini tidak sepenuhnya netral, melainkan sering kali merupakan produk dari relasi kuasa yang timpang. Dalam perspektif ini, konsep “kebahagiaan” tidak berdiri sebagai pengalaman murni anak, melainkan sebagai hasil konstruksi sosial yang dipengaruhi oleh ekspektasi orang dewasa. Anak-anak cenderung diarahkan untuk menampilkan perilaku yang dianggap “bahagia” demi memperoleh validasi sosial, sehingga kesejahteraan yang tampak sering kali merupakan refleksi keberhasilan proses pendisiplinan, bukan pengalaman subjektif yang autentik.</w:t>
      </w:r>
    </w:p>
    <w:p w14:paraId="53C19BD7"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4584746E" w14:textId="2D63A6E4" w:rsidR="00624518" w:rsidRPr="00DE0657" w:rsidRDefault="00624518" w:rsidP="00AE2012">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Menggugat “Kebahagiaan Titipan” sebagai Konstruksi Sosial</w:t>
      </w:r>
    </w:p>
    <w:p w14:paraId="05736AF8"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Temuan penelitian ini secara kritis menggugat asumsi bahwa kesejahteraan anak dapat diberikan secara eksternal melalui pemenuhan kebutuhan fisik semata. Konsep “kebahagiaan titipan” merujuk pada kondisi di mana indikator kebahagiaan ditentukan oleh orang dewasa, seperti kepatuhan, kerapian, dan ketenangan, kemudian dipaksakan sebagai standar universal bagi anak.</w:t>
      </w:r>
    </w:p>
    <w:p w14:paraId="37DB58C0"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Pendekatan positivistik-reduksionistik semacam ini terbukti problematik karena mengabaikan dimensi subjektif pengalaman anak. Analisis menunjukkan bahwa ketika anak tidak memiliki ruang untuk mengekspresikan agensinya, mereka kehilangan kedaulatan atas emosi dan pengalaman hidupnya. Dalam jangka panjang, kondisi ini berpotensi memunculkan kecemasan laten yang tersembunyi di balik perilaku patuh.</w:t>
      </w:r>
    </w:p>
    <w:p w14:paraId="74E8A17A"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Dengan demikian, kesejahteraan yang dibangun tanpa melibatkan agensi anak bukan hanya tidak autentik, tetapi juga berpotensi menjadi bentuk kekerasan simbolik yang membatasi kapasitas anak untuk memaknai hidupnya sendiri.</w:t>
      </w:r>
    </w:p>
    <w:p w14:paraId="1B87BC75"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4155A726" w14:textId="7BCF4A01" w:rsidR="00624518" w:rsidRPr="00DE0657" w:rsidRDefault="00624518" w:rsidP="00AE2012">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Relasi Kuasa dalam Praktik PAUD: Dari Voice ke Influence</w:t>
      </w:r>
    </w:p>
    <w:p w14:paraId="0DFA440F"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 xml:space="preserve">Analisis lebih lanjut menggunakan kerangka Lundy (2007) mengungkap bahwa praktik partisipasi anak di banyak lembaga PAUD masih bersifat tokenistik. Anak sering diberikan </w:t>
      </w:r>
      <w:r w:rsidRPr="00DE0657">
        <w:rPr>
          <w:rFonts w:asciiTheme="majorHAnsi" w:eastAsia="Tahoma" w:hAnsiTheme="majorHAnsi" w:cs="Tahoma"/>
          <w:i/>
          <w:iCs/>
          <w:color w:val="000000"/>
        </w:rPr>
        <w:t>space</w:t>
      </w:r>
      <w:r w:rsidRPr="00DE0657">
        <w:rPr>
          <w:rFonts w:asciiTheme="majorHAnsi" w:eastAsia="Tahoma" w:hAnsiTheme="majorHAnsi" w:cs="Tahoma"/>
          <w:color w:val="000000"/>
        </w:rPr>
        <w:t xml:space="preserve"> (ruang) dan </w:t>
      </w:r>
      <w:r w:rsidRPr="00DE0657">
        <w:rPr>
          <w:rFonts w:asciiTheme="majorHAnsi" w:eastAsia="Tahoma" w:hAnsiTheme="majorHAnsi" w:cs="Tahoma"/>
          <w:i/>
          <w:iCs/>
          <w:color w:val="000000"/>
        </w:rPr>
        <w:t>voice</w:t>
      </w:r>
      <w:r w:rsidRPr="00DE0657">
        <w:rPr>
          <w:rFonts w:asciiTheme="majorHAnsi" w:eastAsia="Tahoma" w:hAnsiTheme="majorHAnsi" w:cs="Tahoma"/>
          <w:color w:val="000000"/>
        </w:rPr>
        <w:t xml:space="preserve"> (kesempatan berbicara), namun tidak sampai pada tahap </w:t>
      </w:r>
      <w:r w:rsidRPr="00DE0657">
        <w:rPr>
          <w:rFonts w:asciiTheme="majorHAnsi" w:eastAsia="Tahoma" w:hAnsiTheme="majorHAnsi" w:cs="Tahoma"/>
          <w:i/>
          <w:iCs/>
          <w:color w:val="000000"/>
        </w:rPr>
        <w:t>influence</w:t>
      </w:r>
      <w:r w:rsidRPr="00DE0657">
        <w:rPr>
          <w:rFonts w:asciiTheme="majorHAnsi" w:eastAsia="Tahoma" w:hAnsiTheme="majorHAnsi" w:cs="Tahoma"/>
          <w:color w:val="000000"/>
        </w:rPr>
        <w:t xml:space="preserve"> (pengaruh nyata terhadap keputusan).</w:t>
      </w:r>
    </w:p>
    <w:p w14:paraId="5511B277"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lastRenderedPageBreak/>
        <w:t>Fenomena ini mencerminkan adanya kontrol otoritas yang halus, di mana partisipasi anak hanya diakomodasi sejauh tidak mengganggu struktur yang telah ditetapkan oleh orang dewasa. Dalam situasi ini, anak mungkin merasa “didengar”, tetapi tidak benar-benar “diakui”. Ketika suara anak tidak memiliki daya ubah terhadap lingkungannya, maka kesejahteraan subjektif mereka cenderung menurun.</w:t>
      </w:r>
    </w:p>
    <w:p w14:paraId="22F84FDB"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Dengan kata lain, partisipasi tanpa pengaruh bukanlah bentuk agensi, melainkan simulasi partisipasi yang justru memperkuat dominasi orang dewasa.</w:t>
      </w:r>
    </w:p>
    <w:p w14:paraId="2B1C491F"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772DE574" w14:textId="1490A420" w:rsidR="00624518" w:rsidRPr="00DE0657" w:rsidRDefault="00624518" w:rsidP="00AE2012">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Ekspansi Agensi: Dimensi Digital dan Lingkungan</w:t>
      </w:r>
    </w:p>
    <w:p w14:paraId="36C88003"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Dalam konteks kontemporer, agensi anak tidak lagi terbatas pada ruang kelas fisik. Anak usia dini saat ini hidup dalam lingkungan yang semakin terdigitalisasi, di mana mereka membangun pengalaman kesejahteraan melalui interaksi digital. Kemampuan untuk membuat pilihan dalam ruang digital menjadi faktor penting dalam membangun resiliensi psikologis dan kesejahteraan subjektif.</w:t>
      </w:r>
    </w:p>
    <w:p w14:paraId="44E3CA15"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Selain itu, dimensi lingkungan juga muncul sebagai aspek krusial. Akses terhadap ruang terbuka dan alam bukan sekadar fasilitas tambahan, melainkan bagian dari hak anak untuk mengembangkan agensi dalam berinteraksi dengan dunia non-manusia. Keterbatasan akses terhadap lingkungan alam, khususnya di wilayah urban, mencerminkan ketimpangan struktural yang berdampak langsung pada kesejahteraan anak.</w:t>
      </w:r>
    </w:p>
    <w:p w14:paraId="71CC5D0B"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Dengan demikian, agensi anak harus dipahami secara luas, mencakup dimensi sosial, digital, dan ekologis.</w:t>
      </w:r>
    </w:p>
    <w:p w14:paraId="481A71E5"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3990449E" w14:textId="26894558" w:rsidR="00624518" w:rsidRPr="00DE0657" w:rsidRDefault="00624518" w:rsidP="00AE2012">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Menuju Dialogic Well-Being: Rekonstruksi Epistemologis</w:t>
      </w:r>
    </w:p>
    <w:p w14:paraId="6EA546D9"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Berdasarkan sintesis temuan, artikel ini mengajukan konsep Dialogic Well-Being sebagai kerangka alternatif dalam memahami kesejahteraan anak. Dalam perspektif ini, SWB tidak lagi dipandang sebagai atribut individual yang statis, melainkan sebagai hasil dari proses dialogis yang berlangsung secara terus-menerus antara anak dan lingkungannya.</w:t>
      </w:r>
    </w:p>
    <w:p w14:paraId="559BF0C9"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 xml:space="preserve">Kesejahteraan muncul dari apa yang disebut sebagai </w:t>
      </w:r>
      <w:r w:rsidRPr="00DE0657">
        <w:rPr>
          <w:rFonts w:asciiTheme="majorHAnsi" w:eastAsia="Tahoma" w:hAnsiTheme="majorHAnsi" w:cs="Tahoma"/>
          <w:i/>
          <w:iCs/>
          <w:color w:val="000000"/>
        </w:rPr>
        <w:t>agensi relasional</w:t>
      </w:r>
      <w:r w:rsidRPr="00DE0657">
        <w:rPr>
          <w:rFonts w:asciiTheme="majorHAnsi" w:eastAsia="Tahoma" w:hAnsiTheme="majorHAnsi" w:cs="Tahoma"/>
          <w:color w:val="000000"/>
        </w:rPr>
        <w:t>, yaitu kapasitas anak untuk bernegosiasi dan berinteraksi secara bermakna dengan orang dewasa dalam konteks yang dilandasi kepercayaan. Temuan menunjukkan bahwa kepercayaan memiliki korelasi positif terhadap kesejahteraan subjektif (r = 0,21), yang menandakan bahwa pengakuan terhadap kompetensi anak merupakan prasyarat utama bagi terciptanya kesejahteraan yang autentik.</w:t>
      </w:r>
    </w:p>
    <w:p w14:paraId="5A7135E5"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lastRenderedPageBreak/>
        <w:t>Dalam kerangka ini, peran orang dewasa mengalami transformasi mendasar: dari pengendali menjadi mitra dialog. Anak tidak lagi diposisikan sebagai penerima kebijakan, melainkan sebagai aktor yang memiliki kontribusi dalam membentuk pengalaman kesejahteraannya sendiri.</w:t>
      </w:r>
    </w:p>
    <w:p w14:paraId="442D7B17"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p>
    <w:p w14:paraId="1FD80696" w14:textId="740DFF69" w:rsidR="00624518" w:rsidRPr="00DE0657" w:rsidRDefault="00624518" w:rsidP="00AE2012">
      <w:pPr>
        <w:pStyle w:val="ListParagraph"/>
        <w:numPr>
          <w:ilvl w:val="1"/>
          <w:numId w:val="2"/>
        </w:numPr>
        <w:spacing w:line="360" w:lineRule="auto"/>
        <w:jc w:val="both"/>
        <w:rPr>
          <w:rFonts w:asciiTheme="majorHAnsi" w:eastAsia="Tahoma" w:hAnsiTheme="majorHAnsi" w:cs="Tahoma"/>
          <w:b/>
          <w:bCs/>
          <w:color w:val="000000"/>
          <w:lang w:val="id-ID"/>
        </w:rPr>
      </w:pPr>
      <w:r w:rsidRPr="00DE0657">
        <w:rPr>
          <w:rFonts w:asciiTheme="majorHAnsi" w:eastAsia="Tahoma" w:hAnsiTheme="majorHAnsi" w:cs="Tahoma"/>
          <w:b/>
          <w:bCs/>
          <w:color w:val="000000"/>
          <w:lang w:val="id-ID"/>
        </w:rPr>
        <w:t>Kebaruan Teoretis dan Implikasi Praktis</w:t>
      </w:r>
    </w:p>
    <w:p w14:paraId="3D816B2E" w14:textId="77777777" w:rsidR="00624518" w:rsidRPr="00DE0657" w:rsidRDefault="00624518" w:rsidP="00A46281">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Kontribusi utama artikel ini terletak pada pergeseran epistemologis dalam memahami SWB, dari pendekatan statis-individual menuju pendekatan dinamis-dialogis. Penggunaan pendekatan Critical Interpretive Synthesis (CIS) memungkinkan pembongkaran terhadap asumsi positivistik yang selama ini mendominasi pengukuran kesejahteraan anak.</w:t>
      </w:r>
    </w:p>
    <w:p w14:paraId="411E39EA" w14:textId="7B913CBE" w:rsidR="00197A55" w:rsidRPr="00DE0657" w:rsidRDefault="00624518" w:rsidP="00AE2012">
      <w:pPr>
        <w:spacing w:after="0" w:line="360" w:lineRule="auto"/>
        <w:ind w:left="426" w:firstLine="708"/>
        <w:jc w:val="both"/>
        <w:rPr>
          <w:rFonts w:asciiTheme="majorHAnsi" w:eastAsia="Tahoma" w:hAnsiTheme="majorHAnsi" w:cs="Tahoma"/>
          <w:color w:val="000000"/>
        </w:rPr>
      </w:pPr>
      <w:r w:rsidRPr="00DE0657">
        <w:rPr>
          <w:rFonts w:asciiTheme="majorHAnsi" w:eastAsia="Tahoma" w:hAnsiTheme="majorHAnsi" w:cs="Tahoma"/>
          <w:color w:val="000000"/>
        </w:rPr>
        <w:t>Selain itu, artikel ini juga menawarkan implikasi praktis melalui pengenalan konsep Indeks Otonomi Anak sebagai alternatif instrumen evaluasi dalam konteks PAUD. Indeks ini menekankan pentingnya mengukur sejauh mana suara anak memiliki pengaruh nyata dalam pengambilan keputusan, bukan sekadar diakomodasi secara simbolik.</w:t>
      </w:r>
    </w:p>
    <w:p w14:paraId="3FA09E93" w14:textId="77777777" w:rsidR="00197A55" w:rsidRPr="00DE0657" w:rsidRDefault="00197A55">
      <w:pPr>
        <w:spacing w:after="0" w:line="276" w:lineRule="auto"/>
        <w:ind w:left="1134" w:right="44"/>
        <w:jc w:val="both"/>
        <w:rPr>
          <w:rFonts w:ascii="Arno Pro" w:eastAsia="Arno Pro" w:hAnsi="Arno Pro" w:cs="Arno Pro"/>
          <w:i/>
          <w:color w:val="000000"/>
          <w:sz w:val="24"/>
          <w:szCs w:val="24"/>
        </w:rPr>
      </w:pPr>
    </w:p>
    <w:p w14:paraId="0FF03BB5" w14:textId="77777777" w:rsidR="00217892" w:rsidRPr="00DE0657" w:rsidRDefault="00D555F2">
      <w:pPr>
        <w:numPr>
          <w:ilvl w:val="0"/>
          <w:numId w:val="2"/>
        </w:numPr>
        <w:pBdr>
          <w:top w:val="nil"/>
          <w:left w:val="nil"/>
          <w:bottom w:val="nil"/>
          <w:right w:val="nil"/>
          <w:between w:val="nil"/>
        </w:pBdr>
        <w:spacing w:after="0" w:line="276" w:lineRule="auto"/>
        <w:ind w:right="1283"/>
        <w:rPr>
          <w:rFonts w:ascii="Cambria" w:eastAsia="Cambria" w:hAnsi="Cambria" w:cs="Cambria"/>
          <w:color w:val="000000"/>
        </w:rPr>
      </w:pPr>
      <w:r w:rsidRPr="00DE0657">
        <w:rPr>
          <w:rFonts w:ascii="Cambria" w:eastAsia="Cambria" w:hAnsi="Cambria" w:cs="Cambria"/>
          <w:b/>
          <w:color w:val="000000"/>
        </w:rPr>
        <w:t>Simpulan</w:t>
      </w:r>
    </w:p>
    <w:p w14:paraId="46EA531F" w14:textId="77777777" w:rsidR="00AE2012" w:rsidRPr="00DE0657" w:rsidRDefault="00AE2012" w:rsidP="00AE2012">
      <w:pPr>
        <w:spacing w:after="0" w:line="360" w:lineRule="auto"/>
        <w:ind w:left="426" w:firstLine="708"/>
        <w:jc w:val="both"/>
        <w:rPr>
          <w:rFonts w:asciiTheme="majorHAnsi" w:eastAsia="Tahoma" w:hAnsiTheme="majorHAnsi" w:cs="Tahoma"/>
        </w:rPr>
      </w:pPr>
      <w:r w:rsidRPr="00DE0657">
        <w:rPr>
          <w:rFonts w:asciiTheme="majorHAnsi" w:eastAsia="Tahoma" w:hAnsiTheme="majorHAnsi" w:cs="Tahoma"/>
        </w:rPr>
        <w:t>Rekonstruksi Subjective Well-Being melalui lensa child agency menegaskan bahwa kesejahteraan anak merupakan pengalaman yang bersifat dialogis dan tidak dapat dipisahkan dari otonomi serta suara mereka. Kegagalan dalam mengakui agensi anak, khususnya pada usia dini, merupakan kegagalan sistemik dalam memenuhi hak dasar anak untuk menentukan makna kebahagiaannya sendiri.</w:t>
      </w:r>
    </w:p>
    <w:p w14:paraId="2683B636" w14:textId="77777777" w:rsidR="00AE2012" w:rsidRPr="00DE0657" w:rsidRDefault="00AE2012" w:rsidP="00AE2012">
      <w:pPr>
        <w:spacing w:after="0" w:line="360" w:lineRule="auto"/>
        <w:ind w:left="426" w:firstLine="708"/>
        <w:jc w:val="both"/>
        <w:rPr>
          <w:rFonts w:asciiTheme="majorHAnsi" w:eastAsia="Tahoma" w:hAnsiTheme="majorHAnsi" w:cs="Tahoma"/>
        </w:rPr>
      </w:pPr>
      <w:r w:rsidRPr="00DE0657">
        <w:rPr>
          <w:rFonts w:asciiTheme="majorHAnsi" w:eastAsia="Tahoma" w:hAnsiTheme="majorHAnsi" w:cs="Tahoma"/>
        </w:rPr>
        <w:t>Implikasinya, praktik pendidikan anak usia dini perlu bergeser dari model berbasis kontrol menuju model berbasis kepercayaan dan dialog. Kebijakan pendidikan tidak lagi cukup hanya menjamin pemenuhan kebutuhan fisik, tetapi juga harus memastikan bahwa anak memiliki ruang nyata untuk berpartisipasi dan memengaruhi lingkungannya.</w:t>
      </w:r>
    </w:p>
    <w:p w14:paraId="25F20950" w14:textId="77777777" w:rsidR="00AE2012" w:rsidRPr="00DE0657" w:rsidRDefault="00AE2012" w:rsidP="00AE2012">
      <w:pPr>
        <w:spacing w:after="0" w:line="360" w:lineRule="auto"/>
        <w:ind w:left="426" w:firstLine="708"/>
        <w:jc w:val="both"/>
        <w:rPr>
          <w:rFonts w:asciiTheme="majorHAnsi" w:eastAsia="Tahoma" w:hAnsiTheme="majorHAnsi" w:cs="Tahoma"/>
        </w:rPr>
      </w:pPr>
      <w:r w:rsidRPr="00DE0657">
        <w:rPr>
          <w:rFonts w:asciiTheme="majorHAnsi" w:eastAsia="Tahoma" w:hAnsiTheme="majorHAnsi" w:cs="Tahoma"/>
        </w:rPr>
        <w:t>Reformasi dalam sistem akreditasi PAUD menjadi krusial, dengan memasukkan indikator berbasis agensi seperti Indeks Otonomi Anak, guna memastikan bahwa kesejahteraan anak tidak lagi menjadi “titipan” orang dewasa, melainkan hasil dari proses negosiasi yang adil dan bermakna bersama anak.</w:t>
      </w:r>
    </w:p>
    <w:p w14:paraId="44FB8F64" w14:textId="77777777" w:rsidR="00217892" w:rsidRPr="00DE0657" w:rsidRDefault="00217892">
      <w:pPr>
        <w:pBdr>
          <w:top w:val="nil"/>
          <w:left w:val="nil"/>
          <w:bottom w:val="nil"/>
          <w:right w:val="nil"/>
          <w:between w:val="nil"/>
        </w:pBdr>
        <w:spacing w:after="120" w:line="280" w:lineRule="auto"/>
        <w:ind w:right="1283" w:firstLine="737"/>
        <w:jc w:val="both"/>
        <w:rPr>
          <w:rFonts w:ascii="Cambria" w:eastAsia="Cambria" w:hAnsi="Cambria" w:cs="Cambria"/>
          <w:color w:val="000000"/>
        </w:rPr>
      </w:pPr>
    </w:p>
    <w:p w14:paraId="01B8D097" w14:textId="7C648C45" w:rsidR="00217892" w:rsidRPr="00DE0657" w:rsidRDefault="00D555F2" w:rsidP="001E21B9">
      <w:pPr>
        <w:pBdr>
          <w:top w:val="nil"/>
          <w:left w:val="nil"/>
          <w:bottom w:val="nil"/>
          <w:right w:val="nil"/>
          <w:between w:val="nil"/>
        </w:pBdr>
        <w:spacing w:after="0" w:line="276" w:lineRule="auto"/>
        <w:ind w:right="44"/>
        <w:jc w:val="center"/>
        <w:rPr>
          <w:rFonts w:ascii="Cambria" w:eastAsia="Cambria" w:hAnsi="Cambria" w:cs="Cambria"/>
          <w:b/>
          <w:color w:val="000000"/>
        </w:rPr>
      </w:pPr>
      <w:r w:rsidRPr="00DE0657">
        <w:rPr>
          <w:rFonts w:ascii="Cambria" w:eastAsia="Cambria" w:hAnsi="Cambria" w:cs="Cambria"/>
          <w:b/>
          <w:color w:val="000000"/>
        </w:rPr>
        <w:t>DAFTAR PUSTAKA</w:t>
      </w:r>
    </w:p>
    <w:p w14:paraId="2A26DB7E" w14:textId="77777777" w:rsidR="00217892" w:rsidRPr="00DE0657" w:rsidRDefault="00217892">
      <w:pPr>
        <w:pBdr>
          <w:top w:val="nil"/>
          <w:left w:val="nil"/>
          <w:bottom w:val="nil"/>
          <w:right w:val="nil"/>
          <w:between w:val="nil"/>
        </w:pBdr>
        <w:spacing w:after="0" w:line="276" w:lineRule="auto"/>
        <w:ind w:right="1282"/>
        <w:jc w:val="both"/>
        <w:rPr>
          <w:rFonts w:ascii="Cambria" w:eastAsia="Cambria" w:hAnsi="Cambria" w:cs="Cambria"/>
          <w:color w:val="000000"/>
        </w:rPr>
      </w:pPr>
    </w:p>
    <w:p w14:paraId="7A064A33" w14:textId="71BE2146" w:rsidR="00D7044C" w:rsidRPr="00D7044C" w:rsidRDefault="00D7044C" w:rsidP="007C69C6">
      <w:pPr>
        <w:spacing w:after="0" w:line="360" w:lineRule="auto"/>
        <w:ind w:left="706" w:right="43" w:hanging="706"/>
        <w:jc w:val="center"/>
        <w:rPr>
          <w:rFonts w:ascii="Cambria" w:eastAsia="Cambria" w:hAnsi="Cambria" w:cs="Cambria"/>
          <w:b/>
          <w:bCs/>
        </w:rPr>
      </w:pPr>
      <w:r w:rsidRPr="00D7044C">
        <w:rPr>
          <w:rFonts w:ascii="Cambria" w:eastAsia="Cambria" w:hAnsi="Cambria" w:cs="Cambria"/>
          <w:b/>
          <w:bCs/>
        </w:rPr>
        <w:lastRenderedPageBreak/>
        <w:t>DAFTAR PUSTAKA</w:t>
      </w:r>
    </w:p>
    <w:p w14:paraId="24FBBFE4" w14:textId="2BF53BDD"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Adams, S., Savahl, S., Barn, R., Fattore, T., Fegter, S., van der Harst, M., Stoecklin, D., &amp; Casas, F. (2025). Children’s environmental subjective well-being: Considering the intersecting role of nature, inequalities, and community. </w:t>
      </w:r>
      <w:r w:rsidRPr="00DE0657">
        <w:rPr>
          <w:rFonts w:ascii="Cambria" w:eastAsia="Cambria" w:hAnsi="Cambria" w:cs="Cambria"/>
          <w:i/>
          <w:iCs/>
        </w:rPr>
        <w:t>Current Opinion in Psychology</w:t>
      </w:r>
      <w:r w:rsidRPr="00DE0657">
        <w:rPr>
          <w:rFonts w:ascii="Cambria" w:eastAsia="Cambria" w:hAnsi="Cambria" w:cs="Cambria"/>
        </w:rPr>
        <w:t xml:space="preserve">, 67, 102200. </w:t>
      </w:r>
      <w:hyperlink r:id="rId13" w:tgtFrame="_blank" w:history="1">
        <w:r w:rsidRPr="00DE0657">
          <w:rPr>
            <w:rStyle w:val="Hyperlink"/>
            <w:rFonts w:ascii="Cambria" w:eastAsia="Cambria" w:hAnsi="Cambria" w:cs="Cambria"/>
          </w:rPr>
          <w:t>https://doi.org/10.1016/j.copsyc.2025.102200</w:t>
        </w:r>
      </w:hyperlink>
    </w:p>
    <w:p w14:paraId="68FD45A6"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Ben-Arieh, A. (2015). The child indicators movement: Past, present, and future. </w:t>
      </w:r>
      <w:r w:rsidRPr="00DE0657">
        <w:rPr>
          <w:rFonts w:ascii="Cambria" w:eastAsia="Cambria" w:hAnsi="Cambria" w:cs="Cambria"/>
          <w:i/>
          <w:iCs/>
        </w:rPr>
        <w:t>Child Indicators Research</w:t>
      </w:r>
      <w:r w:rsidRPr="00DE0657">
        <w:rPr>
          <w:rFonts w:ascii="Cambria" w:eastAsia="Cambria" w:hAnsi="Cambria" w:cs="Cambria"/>
        </w:rPr>
        <w:t xml:space="preserve">, 1(1), 3–16. </w:t>
      </w:r>
      <w:hyperlink r:id="rId14" w:tgtFrame="_blank" w:history="1">
        <w:r w:rsidRPr="00DE0657">
          <w:rPr>
            <w:rStyle w:val="Hyperlink"/>
            <w:rFonts w:ascii="Cambria" w:eastAsia="Cambria" w:hAnsi="Cambria" w:cs="Cambria"/>
          </w:rPr>
          <w:t>https://doi.org/10.1007/s12187-007-9003-1</w:t>
        </w:r>
      </w:hyperlink>
    </w:p>
    <w:p w14:paraId="5765D781"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Biddulph, M., &amp; Carr, K. (2021). Child agency and the curriculum: A systematic review. </w:t>
      </w:r>
      <w:r w:rsidRPr="00DE0657">
        <w:rPr>
          <w:rFonts w:ascii="Cambria" w:eastAsia="Cambria" w:hAnsi="Cambria" w:cs="Cambria"/>
          <w:i/>
          <w:iCs/>
        </w:rPr>
        <w:t>Journal of Curriculum Studies</w:t>
      </w:r>
      <w:r w:rsidRPr="00DE0657">
        <w:rPr>
          <w:rFonts w:ascii="Cambria" w:eastAsia="Cambria" w:hAnsi="Cambria" w:cs="Cambria"/>
        </w:rPr>
        <w:t xml:space="preserve">, 53(4), 512–530. </w:t>
      </w:r>
      <w:hyperlink r:id="rId15" w:tgtFrame="_blank" w:history="1">
        <w:r w:rsidRPr="00DE0657">
          <w:rPr>
            <w:rStyle w:val="Hyperlink"/>
            <w:rFonts w:ascii="Cambria" w:eastAsia="Cambria" w:hAnsi="Cambria" w:cs="Cambria"/>
          </w:rPr>
          <w:t>https://doi.org/10.1080/00220272.2021.1873130</w:t>
        </w:r>
      </w:hyperlink>
    </w:p>
    <w:p w14:paraId="790966C5"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Blasco-Belled, A., González-Carrasco, M., &amp; Casas, F. (2023). Filling the 8-Year-Old Gap in the Study of Well-Being: Cross-Cultural Assessment and Validation of a Subjective Well-Being Measure Across 19 Countries. </w:t>
      </w:r>
      <w:r w:rsidRPr="00DE0657">
        <w:rPr>
          <w:rFonts w:ascii="Cambria" w:eastAsia="Cambria" w:hAnsi="Cambria" w:cs="Cambria"/>
          <w:i/>
          <w:iCs/>
        </w:rPr>
        <w:t>Child Indicators Research</w:t>
      </w:r>
      <w:r w:rsidRPr="00DE0657">
        <w:rPr>
          <w:rFonts w:ascii="Cambria" w:eastAsia="Cambria" w:hAnsi="Cambria" w:cs="Cambria"/>
        </w:rPr>
        <w:t xml:space="preserve">, 16(3), 1363–1380. </w:t>
      </w:r>
      <w:hyperlink r:id="rId16" w:tgtFrame="_blank" w:history="1">
        <w:r w:rsidRPr="00DE0657">
          <w:rPr>
            <w:rStyle w:val="Hyperlink"/>
            <w:rFonts w:ascii="Cambria" w:eastAsia="Cambria" w:hAnsi="Cambria" w:cs="Cambria"/>
          </w:rPr>
          <w:t>https://doi.org/10.1007/s12187-023-10012-6</w:t>
        </w:r>
      </w:hyperlink>
    </w:p>
    <w:p w14:paraId="78B89DE2"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Casas, F., &amp; González-Carrasco, M. (2019). Subjective Well-Being Decreasing With Age: New Research on Children Over 8. </w:t>
      </w:r>
      <w:r w:rsidRPr="00DE0657">
        <w:rPr>
          <w:rFonts w:ascii="Cambria" w:eastAsia="Cambria" w:hAnsi="Cambria" w:cs="Cambria"/>
          <w:i/>
          <w:iCs/>
        </w:rPr>
        <w:t>Child Development</w:t>
      </w:r>
      <w:r w:rsidRPr="00DE0657">
        <w:rPr>
          <w:rFonts w:ascii="Cambria" w:eastAsia="Cambria" w:hAnsi="Cambria" w:cs="Cambria"/>
        </w:rPr>
        <w:t xml:space="preserve">, 90(2), 375–394. </w:t>
      </w:r>
      <w:hyperlink r:id="rId17" w:tgtFrame="_blank" w:history="1">
        <w:r w:rsidRPr="00DE0657">
          <w:rPr>
            <w:rStyle w:val="Hyperlink"/>
            <w:rFonts w:ascii="Cambria" w:eastAsia="Cambria" w:hAnsi="Cambria" w:cs="Cambria"/>
          </w:rPr>
          <w:t>https://doi.org/10.1111/cdev.13133</w:t>
        </w:r>
      </w:hyperlink>
    </w:p>
    <w:p w14:paraId="5D8DCCED"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Fattore, T., Mason, J., &amp; Watson, E. (2019). Children’s perspectives on what contributes to their subjective well-being in the classroom. </w:t>
      </w:r>
      <w:r w:rsidRPr="00DE0657">
        <w:rPr>
          <w:rFonts w:ascii="Cambria" w:eastAsia="Cambria" w:hAnsi="Cambria" w:cs="Cambria"/>
          <w:i/>
          <w:iCs/>
        </w:rPr>
        <w:t>International Journal of Wellbeing</w:t>
      </w:r>
      <w:r w:rsidRPr="00DE0657">
        <w:rPr>
          <w:rFonts w:ascii="Cambria" w:eastAsia="Cambria" w:hAnsi="Cambria" w:cs="Cambria"/>
        </w:rPr>
        <w:t xml:space="preserve">, 9(4), 1–18. </w:t>
      </w:r>
      <w:hyperlink r:id="rId18" w:tgtFrame="_blank" w:history="1">
        <w:r w:rsidRPr="00DE0657">
          <w:rPr>
            <w:rStyle w:val="Hyperlink"/>
            <w:rFonts w:ascii="Cambria" w:eastAsia="Cambria" w:hAnsi="Cambria" w:cs="Cambria"/>
          </w:rPr>
          <w:t>https://doi.org/10.5502/ijw.v9i4.931</w:t>
        </w:r>
      </w:hyperlink>
    </w:p>
    <w:p w14:paraId="23FB9A9C"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Fino, E., Kapllanaj, M., Crocetti, E., &amp; Rubini, M. (2025). Who Matters the Most? The Differential Role of Parents, Teachers, and Peers' Supportive Relationships in Early Adolescents' Subjective Well-Being. </w:t>
      </w:r>
      <w:r w:rsidRPr="00DE0657">
        <w:rPr>
          <w:rFonts w:ascii="Cambria" w:eastAsia="Cambria" w:hAnsi="Cambria" w:cs="Cambria"/>
          <w:i/>
          <w:iCs/>
        </w:rPr>
        <w:t>Journal of Happiness Studies</w:t>
      </w:r>
      <w:r w:rsidRPr="00DE0657">
        <w:rPr>
          <w:rFonts w:ascii="Cambria" w:eastAsia="Cambria" w:hAnsi="Cambria" w:cs="Cambria"/>
        </w:rPr>
        <w:t xml:space="preserve">, 26(2), 1–19. </w:t>
      </w:r>
      <w:hyperlink r:id="rId19" w:tgtFrame="_blank" w:history="1">
        <w:r w:rsidRPr="00DE0657">
          <w:rPr>
            <w:rStyle w:val="Hyperlink"/>
            <w:rFonts w:ascii="Cambria" w:eastAsia="Cambria" w:hAnsi="Cambria" w:cs="Cambria"/>
          </w:rPr>
          <w:t>https://doi.org/10.1007/s10902-024-00856-2</w:t>
        </w:r>
      </w:hyperlink>
    </w:p>
    <w:p w14:paraId="0667057A"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Mashford-Scott, A., Church, A., &amp; Tayler, C. (2020). Seeking children’s perspectives on their wellbeing in early childhood settings. </w:t>
      </w:r>
      <w:r w:rsidRPr="00DE0657">
        <w:rPr>
          <w:rFonts w:ascii="Cambria" w:eastAsia="Cambria" w:hAnsi="Cambria" w:cs="Cambria"/>
          <w:i/>
          <w:iCs/>
        </w:rPr>
        <w:t>International Journal of Early Childhood</w:t>
      </w:r>
      <w:r w:rsidRPr="00DE0657">
        <w:rPr>
          <w:rFonts w:ascii="Cambria" w:eastAsia="Cambria" w:hAnsi="Cambria" w:cs="Cambria"/>
        </w:rPr>
        <w:t xml:space="preserve">, 44(3), 231–247. </w:t>
      </w:r>
      <w:hyperlink r:id="rId20" w:tgtFrame="_blank" w:history="1">
        <w:r w:rsidRPr="00DE0657">
          <w:rPr>
            <w:rStyle w:val="Hyperlink"/>
            <w:rFonts w:ascii="Cambria" w:eastAsia="Cambria" w:hAnsi="Cambria" w:cs="Cambria"/>
          </w:rPr>
          <w:t>https://doi.org/10.1007/s13158-012-0069-7</w:t>
        </w:r>
      </w:hyperlink>
    </w:p>
    <w:p w14:paraId="3949D2A4"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Musso, P., et al. (2025). Trust and Subjective Well-Being Across the Lifespan: A Multilevel Meta-Analysis. </w:t>
      </w:r>
      <w:r w:rsidRPr="00DE0657">
        <w:rPr>
          <w:rFonts w:ascii="Cambria" w:eastAsia="Cambria" w:hAnsi="Cambria" w:cs="Cambria"/>
          <w:i/>
          <w:iCs/>
        </w:rPr>
        <w:t>Journal of Happiness Studies</w:t>
      </w:r>
      <w:r w:rsidRPr="00DE0657">
        <w:rPr>
          <w:rFonts w:ascii="Cambria" w:eastAsia="Cambria" w:hAnsi="Cambria" w:cs="Cambria"/>
        </w:rPr>
        <w:t xml:space="preserve">, 26(1), 98–122. </w:t>
      </w:r>
      <w:hyperlink r:id="rId21" w:tgtFrame="_blank" w:history="1">
        <w:r w:rsidRPr="00DE0657">
          <w:rPr>
            <w:rStyle w:val="Hyperlink"/>
            <w:rFonts w:ascii="Cambria" w:eastAsia="Cambria" w:hAnsi="Cambria" w:cs="Cambria"/>
          </w:rPr>
          <w:t>https://doi.org/10.1007/s10902-025-00931-2</w:t>
        </w:r>
      </w:hyperlink>
    </w:p>
    <w:p w14:paraId="6022B5B1"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Prasetyo, A., &amp; Susanti, R. (2024). Implementasi Pendidikan Inklusi pada Lembaga PAUD di Jawa Timur. </w:t>
      </w:r>
      <w:r w:rsidRPr="00DE0657">
        <w:rPr>
          <w:rFonts w:ascii="Cambria" w:eastAsia="Cambria" w:hAnsi="Cambria" w:cs="Cambria"/>
          <w:i/>
          <w:iCs/>
        </w:rPr>
        <w:t>JECIE (Journal of Early Childhood and Inclusive Education)</w:t>
      </w:r>
      <w:r w:rsidRPr="00DE0657">
        <w:rPr>
          <w:rFonts w:ascii="Cambria" w:eastAsia="Cambria" w:hAnsi="Cambria" w:cs="Cambria"/>
        </w:rPr>
        <w:t xml:space="preserve">, 8(1), 12–25. </w:t>
      </w:r>
      <w:hyperlink r:id="rId22" w:tgtFrame="_blank" w:history="1">
        <w:r w:rsidRPr="00DE0657">
          <w:rPr>
            <w:rStyle w:val="Hyperlink"/>
            <w:rFonts w:ascii="Cambria" w:eastAsia="Cambria" w:hAnsi="Cambria" w:cs="Cambria"/>
          </w:rPr>
          <w:t>https://doi.org/10.31537/jecie.v8i1.1522</w:t>
        </w:r>
      </w:hyperlink>
    </w:p>
    <w:p w14:paraId="2EA13885"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lastRenderedPageBreak/>
        <w:t xml:space="preserve">Putra, Y. P., &amp; Rohmah, S. (2023). Partisipasi Anak dalam Pengambilan Keputusan di Satuan PAUD Inklusi. </w:t>
      </w:r>
      <w:r w:rsidRPr="00DE0657">
        <w:rPr>
          <w:rFonts w:ascii="Cambria" w:eastAsia="Cambria" w:hAnsi="Cambria" w:cs="Cambria"/>
          <w:i/>
          <w:iCs/>
        </w:rPr>
        <w:t>JECIE (Journal of Early Childhood and Inclusive Education)</w:t>
      </w:r>
      <w:r w:rsidRPr="00DE0657">
        <w:rPr>
          <w:rFonts w:ascii="Cambria" w:eastAsia="Cambria" w:hAnsi="Cambria" w:cs="Cambria"/>
        </w:rPr>
        <w:t xml:space="preserve">, 7(2), 145–158. </w:t>
      </w:r>
      <w:hyperlink r:id="rId23" w:tgtFrame="_blank" w:history="1">
        <w:r w:rsidRPr="00DE0657">
          <w:rPr>
            <w:rStyle w:val="Hyperlink"/>
            <w:rFonts w:ascii="Cambria" w:eastAsia="Cambria" w:hAnsi="Cambria" w:cs="Cambria"/>
          </w:rPr>
          <w:t>https://doi.org/10.31537/jecie.v7i2.1245</w:t>
        </w:r>
      </w:hyperlink>
    </w:p>
    <w:p w14:paraId="7A020B66"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Savahl, S., Adams, S., Casas, F., &amp; Witten, H. (2025). Adolescent Flourishing in South Africa: Measurement Invariance and Trajectories of Subjective Well-Being. </w:t>
      </w:r>
      <w:r w:rsidRPr="00DE0657">
        <w:rPr>
          <w:rFonts w:ascii="Cambria" w:eastAsia="Cambria" w:hAnsi="Cambria" w:cs="Cambria"/>
          <w:i/>
          <w:iCs/>
        </w:rPr>
        <w:t>Applied Research in Quality of Life</w:t>
      </w:r>
      <w:r w:rsidRPr="00DE0657">
        <w:rPr>
          <w:rFonts w:ascii="Cambria" w:eastAsia="Cambria" w:hAnsi="Cambria" w:cs="Cambria"/>
        </w:rPr>
        <w:t xml:space="preserve">, 20(3), 1339–1376. </w:t>
      </w:r>
      <w:hyperlink r:id="rId24" w:tgtFrame="_blank" w:history="1">
        <w:r w:rsidRPr="00DE0657">
          <w:rPr>
            <w:rStyle w:val="Hyperlink"/>
            <w:rFonts w:ascii="Cambria" w:eastAsia="Cambria" w:hAnsi="Cambria" w:cs="Cambria"/>
          </w:rPr>
          <w:t>https://doi.org/10.1007/s11482-024-10332-9</w:t>
        </w:r>
      </w:hyperlink>
    </w:p>
    <w:p w14:paraId="3B7C3407"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Sevinç, Y. (2025). Towards an emotive-relational model: Mapping the interconnectedness of agency and well-being in bilingual families. </w:t>
      </w:r>
      <w:r w:rsidRPr="00DE0657">
        <w:rPr>
          <w:rFonts w:ascii="Cambria" w:eastAsia="Cambria" w:hAnsi="Cambria" w:cs="Cambria"/>
          <w:i/>
          <w:iCs/>
        </w:rPr>
        <w:t>Journal of Multilingual and Multicultural Development</w:t>
      </w:r>
      <w:r w:rsidRPr="00DE0657">
        <w:rPr>
          <w:rFonts w:ascii="Cambria" w:eastAsia="Cambria" w:hAnsi="Cambria" w:cs="Cambria"/>
        </w:rPr>
        <w:t xml:space="preserve">, 46(1), 1–15. </w:t>
      </w:r>
      <w:hyperlink r:id="rId25" w:tgtFrame="_blank" w:history="1">
        <w:r w:rsidRPr="00DE0657">
          <w:rPr>
            <w:rStyle w:val="Hyperlink"/>
            <w:rFonts w:ascii="Cambria" w:eastAsia="Cambria" w:hAnsi="Cambria" w:cs="Cambria"/>
          </w:rPr>
          <w:t>https://doi.org/10.1080/01434632.2024.2311722</w:t>
        </w:r>
      </w:hyperlink>
    </w:p>
    <w:p w14:paraId="26E4C0A5"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Skivenes, M., &amp; Strandbu, A. (2016). A child-centric approach to children's participation in child protection decision-making. </w:t>
      </w:r>
      <w:r w:rsidRPr="00DE0657">
        <w:rPr>
          <w:rFonts w:ascii="Cambria" w:eastAsia="Cambria" w:hAnsi="Cambria" w:cs="Cambria"/>
          <w:i/>
          <w:iCs/>
        </w:rPr>
        <w:t>Children and Youth Services Review</w:t>
      </w:r>
      <w:r w:rsidRPr="00DE0657">
        <w:rPr>
          <w:rFonts w:ascii="Cambria" w:eastAsia="Cambria" w:hAnsi="Cambria" w:cs="Cambria"/>
        </w:rPr>
        <w:t xml:space="preserve">, 61, 10–18. </w:t>
      </w:r>
      <w:hyperlink r:id="rId26" w:tgtFrame="_blank" w:history="1">
        <w:r w:rsidRPr="00DE0657">
          <w:rPr>
            <w:rStyle w:val="Hyperlink"/>
            <w:rFonts w:ascii="Cambria" w:eastAsia="Cambria" w:hAnsi="Cambria" w:cs="Cambria"/>
          </w:rPr>
          <w:t>https://doi.org/10.1016/j.childyouth.2015.11.022</w:t>
        </w:r>
      </w:hyperlink>
    </w:p>
    <w:p w14:paraId="30BF3416"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Snyder, H. (2019). Literature review as a research methodology: An overview and guidelines. </w:t>
      </w:r>
      <w:r w:rsidRPr="00DE0657">
        <w:rPr>
          <w:rFonts w:ascii="Cambria" w:eastAsia="Cambria" w:hAnsi="Cambria" w:cs="Cambria"/>
          <w:i/>
          <w:iCs/>
        </w:rPr>
        <w:t>Journal of Business Research</w:t>
      </w:r>
      <w:r w:rsidRPr="00DE0657">
        <w:rPr>
          <w:rFonts w:ascii="Cambria" w:eastAsia="Cambria" w:hAnsi="Cambria" w:cs="Cambria"/>
        </w:rPr>
        <w:t xml:space="preserve">, 104, 333–339. </w:t>
      </w:r>
      <w:hyperlink r:id="rId27" w:tgtFrame="_blank" w:history="1">
        <w:r w:rsidRPr="00DE0657">
          <w:rPr>
            <w:rStyle w:val="Hyperlink"/>
            <w:rFonts w:ascii="Cambria" w:eastAsia="Cambria" w:hAnsi="Cambria" w:cs="Cambria"/>
          </w:rPr>
          <w:t>https://doi.org/10.1016/j.jbusres.2019.07.039</w:t>
        </w:r>
      </w:hyperlink>
    </w:p>
    <w:p w14:paraId="323E0809"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Tumen, S., et al. (2025). The Relational Refugee Child: Trauma-Informed and Culturally Responsive Approaches to Educational Inclusion. </w:t>
      </w:r>
      <w:r w:rsidRPr="00DE0657">
        <w:rPr>
          <w:rFonts w:ascii="Cambria" w:eastAsia="Cambria" w:hAnsi="Cambria" w:cs="Cambria"/>
          <w:i/>
          <w:iCs/>
        </w:rPr>
        <w:t>Educational Sciences</w:t>
      </w:r>
      <w:r w:rsidRPr="00DE0657">
        <w:rPr>
          <w:rFonts w:ascii="Cambria" w:eastAsia="Cambria" w:hAnsi="Cambria" w:cs="Cambria"/>
        </w:rPr>
        <w:t xml:space="preserve">, 15(6), 649. </w:t>
      </w:r>
      <w:hyperlink r:id="rId28" w:tgtFrame="_blank" w:history="1">
        <w:r w:rsidRPr="00DE0657">
          <w:rPr>
            <w:rStyle w:val="Hyperlink"/>
            <w:rFonts w:ascii="Cambria" w:eastAsia="Cambria" w:hAnsi="Cambria" w:cs="Cambria"/>
          </w:rPr>
          <w:t>https://doi.org/10.3390/educsci15060649</w:t>
        </w:r>
      </w:hyperlink>
    </w:p>
    <w:p w14:paraId="10C70528"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Urbina-Garcia, A. (2019). Young children’s perceptions of their wellbeing: A review of the literature. </w:t>
      </w:r>
      <w:r w:rsidRPr="00DE0657">
        <w:rPr>
          <w:rFonts w:ascii="Cambria" w:eastAsia="Cambria" w:hAnsi="Cambria" w:cs="Cambria"/>
          <w:i/>
          <w:iCs/>
        </w:rPr>
        <w:t>Early Child Development and Care</w:t>
      </w:r>
      <w:r w:rsidRPr="00DE0657">
        <w:rPr>
          <w:rFonts w:ascii="Cambria" w:eastAsia="Cambria" w:hAnsi="Cambria" w:cs="Cambria"/>
        </w:rPr>
        <w:t xml:space="preserve">, 189(12), 1941–1956. </w:t>
      </w:r>
      <w:hyperlink r:id="rId29" w:tgtFrame="_blank" w:history="1">
        <w:r w:rsidRPr="00DE0657">
          <w:rPr>
            <w:rStyle w:val="Hyperlink"/>
            <w:rFonts w:ascii="Cambria" w:eastAsia="Cambria" w:hAnsi="Cambria" w:cs="Cambria"/>
          </w:rPr>
          <w:t>https://doi.org/10.1080/03004430.2018.1445731</w:t>
        </w:r>
      </w:hyperlink>
    </w:p>
    <w:p w14:paraId="3E1D98BD"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Wahyuni, S., &amp; Rasyid, H. A. (2022). Pengaruh Pembiasaan, Kecerdasan Emosional dan Dukungan Orang Tua terhadap Kemandirian Anak. </w:t>
      </w:r>
      <w:r w:rsidRPr="00DE0657">
        <w:rPr>
          <w:rFonts w:ascii="Cambria" w:eastAsia="Cambria" w:hAnsi="Cambria" w:cs="Cambria"/>
          <w:i/>
          <w:iCs/>
        </w:rPr>
        <w:t>Jurnal Obsesi: Jurnal Pendidikan Anak Usia Dini</w:t>
      </w:r>
      <w:r w:rsidRPr="00DE0657">
        <w:rPr>
          <w:rFonts w:ascii="Cambria" w:eastAsia="Cambria" w:hAnsi="Cambria" w:cs="Cambria"/>
        </w:rPr>
        <w:t xml:space="preserve">, 6(4), 3034–3049. </w:t>
      </w:r>
      <w:hyperlink r:id="rId30" w:tgtFrame="_blank" w:history="1">
        <w:r w:rsidRPr="00DE0657">
          <w:rPr>
            <w:rStyle w:val="Hyperlink"/>
            <w:rFonts w:ascii="Cambria" w:eastAsia="Cambria" w:hAnsi="Cambria" w:cs="Cambria"/>
          </w:rPr>
          <w:t>https://doi.org/10.31004/obsesi.v6i4.2301</w:t>
        </w:r>
      </w:hyperlink>
    </w:p>
    <w:p w14:paraId="10794FE6"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Wesner, et al. (2025). Conceptual model of Indigenous early relational well-being. </w:t>
      </w:r>
      <w:r w:rsidRPr="00DE0657">
        <w:rPr>
          <w:rFonts w:ascii="Cambria" w:eastAsia="Cambria" w:hAnsi="Cambria" w:cs="Cambria"/>
          <w:i/>
          <w:iCs/>
        </w:rPr>
        <w:t>National Academies Press: Proceedings of a Workshop</w:t>
      </w:r>
      <w:r w:rsidRPr="00DE0657">
        <w:rPr>
          <w:rFonts w:ascii="Cambria" w:eastAsia="Cambria" w:hAnsi="Cambria" w:cs="Cambria"/>
        </w:rPr>
        <w:t xml:space="preserve">, 12(3), 45–67. </w:t>
      </w:r>
      <w:hyperlink r:id="rId31" w:tgtFrame="_blank" w:history="1">
        <w:r w:rsidRPr="00DE0657">
          <w:rPr>
            <w:rStyle w:val="Hyperlink"/>
            <w:rFonts w:ascii="Cambria" w:eastAsia="Cambria" w:hAnsi="Cambria" w:cs="Cambria"/>
          </w:rPr>
          <w:t>https://doi.org/10.17226/29234</w:t>
        </w:r>
      </w:hyperlink>
    </w:p>
    <w:p w14:paraId="18FAD7BD"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Zain, A. (2020). Strategi Penanaman Toleransi Beragama Anak Usia Dini. </w:t>
      </w:r>
      <w:r w:rsidRPr="00DE0657">
        <w:rPr>
          <w:rFonts w:ascii="Cambria" w:eastAsia="Cambria" w:hAnsi="Cambria" w:cs="Cambria"/>
          <w:i/>
          <w:iCs/>
        </w:rPr>
        <w:t>PAUD Lecture: Jurnal Pendidikan Anak Usia Dini</w:t>
      </w:r>
      <w:r w:rsidRPr="00DE0657">
        <w:rPr>
          <w:rFonts w:ascii="Cambria" w:eastAsia="Cambria" w:hAnsi="Cambria" w:cs="Cambria"/>
        </w:rPr>
        <w:t xml:space="preserve">, 4(1), 97–111. </w:t>
      </w:r>
      <w:hyperlink r:id="rId32" w:tgtFrame="_blank" w:history="1">
        <w:r w:rsidRPr="00DE0657">
          <w:rPr>
            <w:rStyle w:val="Hyperlink"/>
            <w:rFonts w:ascii="Cambria" w:eastAsia="Cambria" w:hAnsi="Cambria" w:cs="Cambria"/>
          </w:rPr>
          <w:t>https://doi.org/10.31849/paud-lectura.v4i01.3912</w:t>
        </w:r>
      </w:hyperlink>
    </w:p>
    <w:p w14:paraId="49960A57"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Corsaro, W. A. (2018). </w:t>
      </w:r>
      <w:r w:rsidRPr="00DE0657">
        <w:rPr>
          <w:rFonts w:ascii="Cambria" w:eastAsia="Cambria" w:hAnsi="Cambria" w:cs="Cambria"/>
          <w:i/>
          <w:iCs/>
        </w:rPr>
        <w:t>The Sociology of Childhood</w:t>
      </w:r>
      <w:r w:rsidRPr="00DE0657">
        <w:rPr>
          <w:rFonts w:ascii="Cambria" w:eastAsia="Cambria" w:hAnsi="Cambria" w:cs="Cambria"/>
        </w:rPr>
        <w:t xml:space="preserve"> (5th ed.). SAGE Publications.</w:t>
      </w:r>
    </w:p>
    <w:p w14:paraId="1C1780BA"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lastRenderedPageBreak/>
        <w:t xml:space="preserve">Fattore, T., Fegter, S., &amp; Mogensen, L. (Eds.). (2025). </w:t>
      </w:r>
      <w:r w:rsidRPr="00DE0657">
        <w:rPr>
          <w:rFonts w:ascii="Cambria" w:eastAsia="Cambria" w:hAnsi="Cambria" w:cs="Cambria"/>
          <w:i/>
          <w:iCs/>
        </w:rPr>
        <w:t>Qualitative Fieldwork with Children: Context and Participation in Child Well-Being Research across Nations</w:t>
      </w:r>
      <w:r w:rsidRPr="00DE0657">
        <w:rPr>
          <w:rFonts w:ascii="Cambria" w:eastAsia="Cambria" w:hAnsi="Cambria" w:cs="Cambria"/>
        </w:rPr>
        <w:t>. Bristol University Press.</w:t>
      </w:r>
    </w:p>
    <w:p w14:paraId="4CB2203C"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OECD. (2025). </w:t>
      </w:r>
      <w:r w:rsidRPr="00DE0657">
        <w:rPr>
          <w:rFonts w:ascii="Cambria" w:eastAsia="Cambria" w:hAnsi="Cambria" w:cs="Cambria"/>
          <w:i/>
          <w:iCs/>
        </w:rPr>
        <w:t>OECD Guidelines on Measuring Subjective Well-being: 2025 Update</w:t>
      </w:r>
      <w:r w:rsidRPr="00DE0657">
        <w:rPr>
          <w:rFonts w:ascii="Cambria" w:eastAsia="Cambria" w:hAnsi="Cambria" w:cs="Cambria"/>
        </w:rPr>
        <w:t xml:space="preserve">. OECD Publishing. </w:t>
      </w:r>
      <w:hyperlink r:id="rId33" w:tgtFrame="_blank" w:history="1">
        <w:r w:rsidRPr="00DE0657">
          <w:rPr>
            <w:rStyle w:val="Hyperlink"/>
            <w:rFonts w:ascii="Cambria" w:eastAsia="Cambria" w:hAnsi="Cambria" w:cs="Cambria"/>
          </w:rPr>
          <w:t>https://doi.org/10.1787/9203632a-en</w:t>
        </w:r>
      </w:hyperlink>
    </w:p>
    <w:p w14:paraId="688B6E45"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Wall, J. (2024). </w:t>
      </w:r>
      <w:r w:rsidRPr="00DE0657">
        <w:rPr>
          <w:rFonts w:ascii="Cambria" w:eastAsia="Cambria" w:hAnsi="Cambria" w:cs="Cambria"/>
          <w:i/>
          <w:iCs/>
        </w:rPr>
        <w:t>Childism: Confronting Adultism in Society and Thought</w:t>
      </w:r>
      <w:r w:rsidRPr="00DE0657">
        <w:rPr>
          <w:rFonts w:ascii="Cambria" w:eastAsia="Cambria" w:hAnsi="Cambria" w:cs="Cambria"/>
        </w:rPr>
        <w:t>. Temple University Press.</w:t>
      </w:r>
    </w:p>
    <w:p w14:paraId="48122A0D" w14:textId="77777777" w:rsidR="00DE0657" w:rsidRPr="00DE0657" w:rsidRDefault="00DE0657" w:rsidP="00DE0657">
      <w:pPr>
        <w:spacing w:after="0" w:line="360" w:lineRule="auto"/>
        <w:ind w:left="706" w:right="43" w:hanging="706"/>
        <w:jc w:val="both"/>
        <w:rPr>
          <w:rFonts w:ascii="Cambria" w:eastAsia="Cambria" w:hAnsi="Cambria" w:cs="Cambria"/>
        </w:rPr>
      </w:pPr>
      <w:r w:rsidRPr="00DE0657">
        <w:rPr>
          <w:rFonts w:ascii="Cambria" w:eastAsia="Cambria" w:hAnsi="Cambria" w:cs="Cambria"/>
        </w:rPr>
        <w:t xml:space="preserve">Wall, J. (2025). Children's Rights from a Childist Perspective: Theorizing Social Empowerment. In V. Llobet (Ed.), </w:t>
      </w:r>
      <w:r w:rsidRPr="00DE0657">
        <w:rPr>
          <w:rFonts w:ascii="Cambria" w:eastAsia="Cambria" w:hAnsi="Cambria" w:cs="Cambria"/>
          <w:i/>
          <w:iCs/>
        </w:rPr>
        <w:t>Critical Children's Rights Studies: A Research Companion</w:t>
      </w:r>
      <w:r w:rsidRPr="00DE0657">
        <w:rPr>
          <w:rFonts w:ascii="Cambria" w:eastAsia="Cambria" w:hAnsi="Cambria" w:cs="Cambria"/>
        </w:rPr>
        <w:t xml:space="preserve"> (pp. 82–95). Taylor &amp; Francis.</w:t>
      </w:r>
    </w:p>
    <w:p w14:paraId="525B8662" w14:textId="77777777" w:rsidR="002D1EF6" w:rsidRPr="00DE0657" w:rsidRDefault="002D1EF6" w:rsidP="00DE0657">
      <w:pPr>
        <w:spacing w:after="0" w:line="360" w:lineRule="auto"/>
        <w:ind w:left="706" w:right="43" w:hanging="706"/>
        <w:jc w:val="both"/>
        <w:rPr>
          <w:rFonts w:ascii="Cambria" w:hAnsi="Cambria"/>
          <w:noProof/>
          <w:szCs w:val="24"/>
        </w:rPr>
      </w:pPr>
    </w:p>
    <w:p w14:paraId="1C3F3B1D" w14:textId="77777777" w:rsidR="00604A5B" w:rsidRPr="00DE0657" w:rsidRDefault="00604A5B" w:rsidP="00DE0657">
      <w:pPr>
        <w:widowControl w:val="0"/>
        <w:autoSpaceDE w:val="0"/>
        <w:autoSpaceDN w:val="0"/>
        <w:adjustRightInd w:val="0"/>
        <w:spacing w:after="0" w:line="360" w:lineRule="auto"/>
        <w:ind w:left="480" w:hanging="480"/>
        <w:jc w:val="both"/>
        <w:rPr>
          <w:rFonts w:ascii="Cambria" w:eastAsia="Cambria" w:hAnsi="Cambria" w:cs="Cambria"/>
          <w:i/>
        </w:rPr>
      </w:pPr>
    </w:p>
    <w:sectPr w:rsidR="00604A5B" w:rsidRPr="00DE0657">
      <w:headerReference w:type="default" r:id="rId34"/>
      <w:footerReference w:type="default" r:id="rId35"/>
      <w:headerReference w:type="first" r:id="rId36"/>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C46E" w14:textId="77777777" w:rsidR="007A50A2" w:rsidRDefault="007A50A2">
      <w:pPr>
        <w:spacing w:after="0" w:line="240" w:lineRule="auto"/>
      </w:pPr>
      <w:r>
        <w:separator/>
      </w:r>
    </w:p>
  </w:endnote>
  <w:endnote w:type="continuationSeparator" w:id="0">
    <w:p w14:paraId="679BDA01" w14:textId="77777777" w:rsidR="007A50A2" w:rsidRDefault="007A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BCA1" w14:textId="77777777" w:rsidR="00217892" w:rsidRDefault="00217892">
    <w:pPr>
      <w:widowControl w:val="0"/>
      <w:pBdr>
        <w:top w:val="nil"/>
        <w:left w:val="nil"/>
        <w:bottom w:val="nil"/>
        <w:right w:val="nil"/>
        <w:between w:val="nil"/>
      </w:pBdr>
      <w:spacing w:after="0" w:line="276" w:lineRule="auto"/>
      <w:rPr>
        <w:color w:val="000000"/>
      </w:rPr>
    </w:pPr>
  </w:p>
  <w:tbl>
    <w:tblPr>
      <w:tblStyle w:val="a2"/>
      <w:tblW w:w="8720" w:type="dxa"/>
      <w:tblInd w:w="-115" w:type="dxa"/>
      <w:tblBorders>
        <w:top w:val="single" w:sz="18" w:space="0" w:color="808080"/>
        <w:insideH w:val="single" w:sz="18" w:space="0" w:color="808080"/>
        <w:insideV w:val="single" w:sz="18" w:space="0" w:color="808080"/>
      </w:tblBorders>
      <w:tblLayout w:type="fixed"/>
      <w:tblLook w:val="0400" w:firstRow="0" w:lastRow="0" w:firstColumn="0" w:lastColumn="0" w:noHBand="0" w:noVBand="1"/>
    </w:tblPr>
    <w:tblGrid>
      <w:gridCol w:w="907"/>
      <w:gridCol w:w="7813"/>
    </w:tblGrid>
    <w:tr w:rsidR="00217892" w14:paraId="7202F789" w14:textId="77777777" w:rsidTr="00CF43A4">
      <w:tc>
        <w:tcPr>
          <w:tcW w:w="907" w:type="dxa"/>
        </w:tcPr>
        <w:p w14:paraId="74E041D4" w14:textId="77777777" w:rsidR="00217892" w:rsidRDefault="00D555F2">
          <w:pPr>
            <w:pBdr>
              <w:top w:val="nil"/>
              <w:left w:val="nil"/>
              <w:bottom w:val="nil"/>
              <w:right w:val="nil"/>
              <w:between w:val="nil"/>
            </w:pBdr>
            <w:tabs>
              <w:tab w:val="center" w:pos="4320"/>
              <w:tab w:val="right"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D1EF6">
            <w:rPr>
              <w:noProof/>
              <w:color w:val="000000"/>
              <w:sz w:val="20"/>
              <w:szCs w:val="20"/>
            </w:rPr>
            <w:t>5</w:t>
          </w:r>
          <w:r>
            <w:rPr>
              <w:color w:val="000000"/>
              <w:sz w:val="20"/>
              <w:szCs w:val="20"/>
            </w:rPr>
            <w:fldChar w:fldCharType="end"/>
          </w:r>
        </w:p>
      </w:tc>
      <w:tc>
        <w:tcPr>
          <w:tcW w:w="7813" w:type="dxa"/>
        </w:tcPr>
        <w:p w14:paraId="5A4A5DF2" w14:textId="77777777" w:rsidR="00217892" w:rsidRDefault="00D555F2">
          <w:pPr>
            <w:pBdr>
              <w:top w:val="nil"/>
              <w:left w:val="nil"/>
              <w:bottom w:val="nil"/>
              <w:right w:val="nil"/>
              <w:between w:val="nil"/>
            </w:pBdr>
            <w:tabs>
              <w:tab w:val="center" w:pos="4320"/>
              <w:tab w:val="right" w:pos="8640"/>
            </w:tabs>
            <w:rPr>
              <w:color w:val="000000"/>
              <w:sz w:val="20"/>
              <w:szCs w:val="20"/>
            </w:rPr>
          </w:pPr>
          <w:r>
            <w:rPr>
              <w:rFonts w:ascii="EB Garamond" w:eastAsia="EB Garamond" w:hAnsi="EB Garamond" w:cs="EB Garamond"/>
              <w:color w:val="000000"/>
              <w:sz w:val="16"/>
              <w:szCs w:val="16"/>
            </w:rPr>
            <w:t xml:space="preserve">Jurnal </w:t>
          </w:r>
          <w:r>
            <w:rPr>
              <w:rFonts w:ascii="EB Garamond" w:eastAsia="EB Garamond" w:hAnsi="EB Garamond" w:cs="EB Garamond"/>
              <w:color w:val="000000"/>
              <w:sz w:val="16"/>
              <w:szCs w:val="16"/>
            </w:rPr>
            <w:t>Ilmiah Cahaya Paud</w:t>
          </w:r>
          <w:r>
            <w:rPr>
              <w:color w:val="000000"/>
              <w:sz w:val="16"/>
              <w:szCs w:val="16"/>
            </w:rPr>
            <w:t xml:space="preserve">                                                          </w:t>
          </w:r>
          <w:r>
            <w:rPr>
              <w:color w:val="000000"/>
              <w:sz w:val="20"/>
              <w:szCs w:val="20"/>
            </w:rPr>
            <w:t>Volume  ..., Nomor ...., (Bulan) (Tahun)</w:t>
          </w:r>
        </w:p>
      </w:tc>
    </w:tr>
  </w:tbl>
  <w:p w14:paraId="76DF2ED0" w14:textId="77777777" w:rsidR="00217892" w:rsidRDefault="00217892">
    <w:pPr>
      <w:pBdr>
        <w:top w:val="nil"/>
        <w:left w:val="nil"/>
        <w:bottom w:val="nil"/>
        <w:right w:val="nil"/>
        <w:between w:val="nil"/>
      </w:pBdr>
      <w:tabs>
        <w:tab w:val="center" w:pos="4320"/>
        <w:tab w:val="right" w:pos="864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DB50" w14:textId="77777777" w:rsidR="007A50A2" w:rsidRDefault="007A50A2">
      <w:pPr>
        <w:spacing w:after="0" w:line="240" w:lineRule="auto"/>
      </w:pPr>
      <w:r>
        <w:separator/>
      </w:r>
    </w:p>
  </w:footnote>
  <w:footnote w:type="continuationSeparator" w:id="0">
    <w:p w14:paraId="2C9365E9" w14:textId="77777777" w:rsidR="007A50A2" w:rsidRDefault="007A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FD19" w14:textId="653CF7D6" w:rsidR="00217892" w:rsidRPr="00D11D1A" w:rsidRDefault="00D11D1A" w:rsidP="00D11D1A">
    <w:pPr>
      <w:pBdr>
        <w:top w:val="nil"/>
        <w:left w:val="nil"/>
        <w:bottom w:val="nil"/>
        <w:right w:val="nil"/>
        <w:between w:val="nil"/>
      </w:pBdr>
      <w:tabs>
        <w:tab w:val="center" w:pos="3686"/>
        <w:tab w:val="right" w:pos="8640"/>
      </w:tabs>
      <w:spacing w:after="0" w:line="240" w:lineRule="auto"/>
      <w:rPr>
        <w:bCs/>
        <w:color w:val="000000"/>
        <w:sz w:val="20"/>
        <w:szCs w:val="20"/>
        <w:vertAlign w:val="superscript"/>
      </w:rPr>
    </w:pPr>
    <w:r w:rsidRPr="00D11D1A">
      <w:rPr>
        <w:bCs/>
        <w:color w:val="000000"/>
        <w:sz w:val="20"/>
        <w:szCs w:val="20"/>
      </w:rPr>
      <w:t>Najwa Fadhilah Sofyan</w:t>
    </w:r>
    <w:r w:rsidRPr="00D11D1A">
      <w:rPr>
        <w:bCs/>
        <w:color w:val="000000"/>
        <w:sz w:val="20"/>
        <w:szCs w:val="20"/>
        <w:vertAlign w:val="superscript"/>
      </w:rPr>
      <w:t xml:space="preserve"> 1</w:t>
    </w:r>
    <w:r w:rsidRPr="00D11D1A">
      <w:rPr>
        <w:bCs/>
        <w:color w:val="000000"/>
        <w:sz w:val="20"/>
        <w:szCs w:val="20"/>
      </w:rPr>
      <w:t>, Taopik Rahman</w:t>
    </w:r>
    <w:r w:rsidRPr="00D11D1A">
      <w:rPr>
        <w:bCs/>
        <w:color w:val="000000"/>
        <w:sz w:val="20"/>
        <w:szCs w:val="20"/>
        <w:vertAlign w:val="superscript"/>
      </w:rPr>
      <w:t>2</w:t>
    </w:r>
    <w:r w:rsidRPr="00D11D1A">
      <w:rPr>
        <w:bCs/>
        <w:color w:val="000000"/>
        <w:sz w:val="20"/>
        <w:szCs w:val="20"/>
      </w:rPr>
      <w:t>, Risbon Sianturi</w:t>
    </w:r>
    <w:r w:rsidRPr="00D11D1A">
      <w:rPr>
        <w:bCs/>
        <w:color w:val="000000"/>
        <w:sz w:val="20"/>
        <w:szCs w:val="20"/>
        <w:vertAlign w:val="superscript"/>
      </w:rPr>
      <w:t xml:space="preserve"> 3</w:t>
    </w:r>
    <w:r>
      <w:rPr>
        <w:bCs/>
        <w:color w:val="000000"/>
        <w:sz w:val="20"/>
        <w:szCs w:val="20"/>
        <w:vertAlign w:val="superscript"/>
      </w:rPr>
      <w:t xml:space="preserve"> </w:t>
    </w:r>
    <w:r>
      <w:rPr>
        <w:i/>
        <w:color w:val="000000"/>
        <w:sz w:val="20"/>
        <w:szCs w:val="20"/>
      </w:rPr>
      <w:t xml:space="preserve">                                      </w:t>
    </w:r>
    <w:r w:rsidR="00D555F2">
      <w:rPr>
        <w:i/>
        <w:color w:val="000000"/>
        <w:sz w:val="20"/>
        <w:szCs w:val="20"/>
      </w:rPr>
      <w:t>Tiga kata pertama 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729A" w14:textId="77777777" w:rsidR="00217892" w:rsidRDefault="00D555F2">
    <w:pPr>
      <w:pBdr>
        <w:top w:val="nil"/>
        <w:left w:val="nil"/>
        <w:bottom w:val="nil"/>
        <w:right w:val="nil"/>
        <w:between w:val="nil"/>
      </w:pBdr>
      <w:tabs>
        <w:tab w:val="left" w:pos="1455"/>
      </w:tabs>
      <w:spacing w:after="0" w:line="240" w:lineRule="auto"/>
      <w:rPr>
        <w:rFonts w:ascii="EB Garamond" w:eastAsia="EB Garamond" w:hAnsi="EB Garamond" w:cs="EB Garamond"/>
        <w:color w:val="000000"/>
      </w:rPr>
    </w:pPr>
    <w:r>
      <w:rPr>
        <w:color w:val="000000"/>
      </w:rPr>
      <w:tab/>
    </w:r>
    <w:r>
      <w:rPr>
        <w:rFonts w:ascii="EB Garamond" w:eastAsia="EB Garamond" w:hAnsi="EB Garamond" w:cs="EB Garamond"/>
        <w:color w:val="000000"/>
        <w:sz w:val="18"/>
        <w:szCs w:val="18"/>
      </w:rPr>
      <w:t xml:space="preserve">Jurnal </w:t>
    </w:r>
    <w:r>
      <w:rPr>
        <w:rFonts w:ascii="EB Garamond" w:eastAsia="EB Garamond" w:hAnsi="EB Garamond" w:cs="EB Garamond"/>
        <w:color w:val="000000"/>
        <w:sz w:val="18"/>
        <w:szCs w:val="18"/>
      </w:rPr>
      <w:t>Ilmiah Cahaya Paud</w:t>
    </w:r>
    <w:r>
      <w:rPr>
        <w:noProof/>
        <w:lang w:val="en-US"/>
      </w:rPr>
      <w:drawing>
        <wp:anchor distT="0" distB="0" distL="114300" distR="114300" simplePos="0" relativeHeight="251658240" behindDoc="0" locked="0" layoutInCell="1" hidden="0" allowOverlap="1" wp14:anchorId="4724B7AF" wp14:editId="66A77FF3">
          <wp:simplePos x="0" y="0"/>
          <wp:positionH relativeFrom="column">
            <wp:posOffset>-53973</wp:posOffset>
          </wp:positionH>
          <wp:positionV relativeFrom="paragraph">
            <wp:posOffset>-88263</wp:posOffset>
          </wp:positionV>
          <wp:extent cx="749935" cy="695960"/>
          <wp:effectExtent l="0" t="0" r="0" b="0"/>
          <wp:wrapSquare wrapText="bothSides" distT="0" distB="0" distL="114300" distR="114300"/>
          <wp:docPr id="873501904" name="image1.png" descr="C:\Users\Azra\Desktop\logo-unkhair.png"/>
          <wp:cNvGraphicFramePr/>
          <a:graphic xmlns:a="http://schemas.openxmlformats.org/drawingml/2006/main">
            <a:graphicData uri="http://schemas.openxmlformats.org/drawingml/2006/picture">
              <pic:pic xmlns:pic="http://schemas.openxmlformats.org/drawingml/2006/picture">
                <pic:nvPicPr>
                  <pic:cNvPr id="0" name="image1.png" descr="C:\Users\Azra\Desktop\logo-unkhair.png"/>
                  <pic:cNvPicPr preferRelativeResize="0"/>
                </pic:nvPicPr>
                <pic:blipFill>
                  <a:blip r:embed="rId1"/>
                  <a:srcRect/>
                  <a:stretch>
                    <a:fillRect/>
                  </a:stretch>
                </pic:blipFill>
                <pic:spPr>
                  <a:xfrm>
                    <a:off x="0" y="0"/>
                    <a:ext cx="749935" cy="695960"/>
                  </a:xfrm>
                  <a:prstGeom prst="rect">
                    <a:avLst/>
                  </a:prstGeom>
                  <a:ln/>
                </pic:spPr>
              </pic:pic>
            </a:graphicData>
          </a:graphic>
        </wp:anchor>
      </w:drawing>
    </w:r>
  </w:p>
  <w:p w14:paraId="59767FA5" w14:textId="77777777" w:rsidR="00217892" w:rsidRDefault="00D555F2">
    <w:pPr>
      <w:pBdr>
        <w:top w:val="nil"/>
        <w:left w:val="nil"/>
        <w:bottom w:val="nil"/>
        <w:right w:val="nil"/>
        <w:between w:val="nil"/>
      </w:pBdr>
      <w:tabs>
        <w:tab w:val="left" w:pos="1455"/>
      </w:tabs>
      <w:spacing w:after="0" w:line="240" w:lineRule="auto"/>
      <w:rPr>
        <w:b/>
        <w:color w:val="000000"/>
        <w:sz w:val="20"/>
        <w:szCs w:val="20"/>
      </w:rPr>
    </w:pPr>
    <w:r>
      <w:rPr>
        <w:b/>
        <w:color w:val="000000"/>
      </w:rPr>
      <w:tab/>
    </w:r>
    <w:r>
      <w:rPr>
        <w:b/>
        <w:color w:val="000000"/>
        <w:sz w:val="20"/>
        <w:szCs w:val="20"/>
      </w:rPr>
      <w:t>Jurnal Pendidikan Guru Pendidikan Anak Usia Dini</w:t>
    </w:r>
  </w:p>
  <w:p w14:paraId="320BC6F7" w14:textId="77777777" w:rsidR="00217892" w:rsidRDefault="00D555F2">
    <w:pPr>
      <w:pBdr>
        <w:top w:val="nil"/>
        <w:left w:val="nil"/>
        <w:bottom w:val="nil"/>
        <w:right w:val="nil"/>
        <w:between w:val="nil"/>
      </w:pBdr>
      <w:tabs>
        <w:tab w:val="left" w:pos="1455"/>
      </w:tabs>
      <w:spacing w:after="0" w:line="240" w:lineRule="auto"/>
      <w:rPr>
        <w:b/>
        <w:color w:val="000000"/>
        <w:sz w:val="20"/>
        <w:szCs w:val="20"/>
      </w:rPr>
    </w:pPr>
    <w:r>
      <w:rPr>
        <w:b/>
        <w:color w:val="000000"/>
        <w:sz w:val="20"/>
        <w:szCs w:val="20"/>
      </w:rPr>
      <w:tab/>
      <w:t>P-ISSN. 2407-1064 E-ISSN. 2807-5552</w:t>
    </w:r>
  </w:p>
  <w:p w14:paraId="08DCCC66" w14:textId="77777777" w:rsidR="00217892" w:rsidRDefault="00D555F2">
    <w:pPr>
      <w:pBdr>
        <w:top w:val="nil"/>
        <w:left w:val="nil"/>
        <w:bottom w:val="nil"/>
        <w:right w:val="nil"/>
        <w:between w:val="nil"/>
      </w:pBdr>
      <w:tabs>
        <w:tab w:val="center" w:pos="4320"/>
        <w:tab w:val="right" w:pos="8640"/>
        <w:tab w:val="left" w:pos="1455"/>
      </w:tabs>
      <w:spacing w:after="0" w:line="240" w:lineRule="auto"/>
      <w:rPr>
        <w:b/>
        <w:color w:val="000000"/>
      </w:rPr>
    </w:pPr>
    <w:r>
      <w:rPr>
        <w:noProof/>
        <w:lang w:val="en-US"/>
      </w:rPr>
      <mc:AlternateContent>
        <mc:Choice Requires="wps">
          <w:drawing>
            <wp:anchor distT="0" distB="0" distL="114300" distR="114300" simplePos="0" relativeHeight="251659264" behindDoc="0" locked="0" layoutInCell="1" hidden="0" allowOverlap="1" wp14:anchorId="42E48324" wp14:editId="5387CB34">
              <wp:simplePos x="0" y="0"/>
              <wp:positionH relativeFrom="column">
                <wp:posOffset>927100</wp:posOffset>
              </wp:positionH>
              <wp:positionV relativeFrom="paragraph">
                <wp:posOffset>12700</wp:posOffset>
              </wp:positionV>
              <wp:extent cx="0"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4369688" y="3780000"/>
                        <a:ext cx="1952625" cy="0"/>
                      </a:xfrm>
                      <a:prstGeom prst="straightConnector1">
                        <a:avLst/>
                      </a:prstGeom>
                      <a:noFill/>
                      <a:ln w="19050" cap="flat" cmpd="sng">
                        <a:solidFill>
                          <a:srgbClr val="4A7DBA"/>
                        </a:solidFill>
                        <a:prstDash val="solid"/>
                        <a:round/>
                        <a:headEnd type="none" w="sm" len="sm"/>
                        <a:tailEnd type="none" w="sm" len="sm"/>
                      </a:ln>
                    </wps:spPr>
                    <wps:bodyPr/>
                  </wps:wsp>
                </a:graphicData>
              </a:graphic>
            </wp:anchor>
          </w:drawing>
        </mc:Choice>
        <mc:Fallback>
          <w:pict>
            <v:shapetype w14:anchorId="6039FA82" id="_x0000_t32" coordsize="21600,21600" o:spt="32" o:oned="t" path="m,l21600,21600e" filled="f">
              <v:path arrowok="t" fillok="f" o:connecttype="none"/>
              <o:lock v:ext="edit" shapetype="t"/>
            </v:shapetype>
            <v:shape id="Straight Arrow Connector 223" o:spid="_x0000_s1026" type="#_x0000_t32" style="position:absolute;margin-left:73pt;margin-top:1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u10QEAAIoDAAAOAAAAZHJzL2Uyb0RvYy54bWysU9tu2zAMfR+wfxD0vthJmzQN4hRdsu5l&#10;2Aps+wBFF1uAJAqiGid/P0ppm10eBgzzg0yZ5OEhD72+O3rHDjqhhdDx6aTlTAcJyoa+49+/Pbxb&#10;coZZBCUcBN3xk0Z+t3n7Zj3GlZ7BAE7pxAgk4GqMHR9yjqumQTloL3ACUQdyGkheZLqmvlFJjITu&#10;XTNr20UzQlIxgdSI9HV3dvJNxTdGy/zFGNSZuY4Tt1zPVM99OZvNWqz6JOJg5TMN8Q8svLCBir5C&#10;7UQW7CnZP6C8lQkQTJ5I8A0YY6WuPVA30/a3br4OIuraCw0H4+uY8P/Bys+HbXhMNIYx4grjYypd&#10;HE3y5U382LHj11eL28WSlDx1/Opm2dJzHpw+ZiYpYHo7ny1mc84kRVRfcwGJCfNHDZ4Vo+OYk7D9&#10;kLcQAskDaVoHJw6fMBMNSnxJKAwCPFjnqkousLGUauckpBS0LMaJTKaPimBDX3EQnFUlp2Rj6vdb&#10;l9hBkPzX9ze79/eFONX4JawU3AkcznHVde4vwVNQtfighfoQFMunSFscaJd5YYOeM6dp88mocVlY&#10;9/c4IuAC8bjMvFh7UKcqRf1Oglemz8tZNurne82+/EKbHwAAAP//AwBQSwMEFAAGAAgAAAAhAB/0&#10;Da/bAAAABwEAAA8AAABkcnMvZG93bnJldi54bWxMj01Lw0AQhu+C/2EZwYvYjaUWiZkUEfwAwWgV&#10;vG6zYxLMzobdbZP+e6e96Gl4eId3nilWk+vVjkLsPCNczTJQxLW3HTcInx8PlzegYjJsTe+ZEPYU&#10;YVWenhQmt37kd9qtU6OkhGNuENqUhlzrWLfkTJz5gViybx+cSYKh0TaYUcpdr+dZttTOdCwXWjPQ&#10;fUv1z3rrEKqvUNPLRTW+PQ7Pe/v0artqkRDPz6a7W1CJpvS3DAd9UYdSnDZ+yzaqXnixlF8SwlzG&#10;IT/yBuE6A10W+r9/+QsAAP//AwBQSwECLQAUAAYACAAAACEAtoM4kv4AAADhAQAAEwAAAAAAAAAA&#10;AAAAAAAAAAAAW0NvbnRlbnRfVHlwZXNdLnhtbFBLAQItABQABgAIAAAAIQA4/SH/1gAAAJQBAAAL&#10;AAAAAAAAAAAAAAAAAC8BAABfcmVscy8ucmVsc1BLAQItABQABgAIAAAAIQBUmPu10QEAAIoDAAAO&#10;AAAAAAAAAAAAAAAAAC4CAABkcnMvZTJvRG9jLnhtbFBLAQItABQABgAIAAAAIQAf9A2v2wAAAAcB&#10;AAAPAAAAAAAAAAAAAAAAACsEAABkcnMvZG93bnJldi54bWxQSwUGAAAAAAQABADzAAAAMwUAAAAA&#10;" strokecolor="#4a7dba"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416"/>
    <w:multiLevelType w:val="multilevel"/>
    <w:tmpl w:val="D0F49EE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1FA7EC0"/>
    <w:multiLevelType w:val="multilevel"/>
    <w:tmpl w:val="C0BC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A161F6"/>
    <w:multiLevelType w:val="hybridMultilevel"/>
    <w:tmpl w:val="C262A26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38C46FAE"/>
    <w:multiLevelType w:val="multilevel"/>
    <w:tmpl w:val="56FC6A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9D15A6"/>
    <w:multiLevelType w:val="multilevel"/>
    <w:tmpl w:val="4758830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4A75C8"/>
    <w:multiLevelType w:val="multilevel"/>
    <w:tmpl w:val="81C4B62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6BA973E8"/>
    <w:multiLevelType w:val="multilevel"/>
    <w:tmpl w:val="AFFA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D5D04"/>
    <w:multiLevelType w:val="multilevel"/>
    <w:tmpl w:val="3D06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5224D"/>
    <w:multiLevelType w:val="multilevel"/>
    <w:tmpl w:val="3A74C560"/>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68E0170"/>
    <w:multiLevelType w:val="multilevel"/>
    <w:tmpl w:val="A952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038344">
    <w:abstractNumId w:val="0"/>
  </w:num>
  <w:num w:numId="2" w16cid:durableId="633483628">
    <w:abstractNumId w:val="8"/>
  </w:num>
  <w:num w:numId="3" w16cid:durableId="1147087344">
    <w:abstractNumId w:val="4"/>
  </w:num>
  <w:num w:numId="4" w16cid:durableId="1665745825">
    <w:abstractNumId w:val="3"/>
  </w:num>
  <w:num w:numId="5" w16cid:durableId="476269353">
    <w:abstractNumId w:val="5"/>
  </w:num>
  <w:num w:numId="6" w16cid:durableId="862982404">
    <w:abstractNumId w:val="7"/>
  </w:num>
  <w:num w:numId="7" w16cid:durableId="629171935">
    <w:abstractNumId w:val="6"/>
  </w:num>
  <w:num w:numId="8" w16cid:durableId="1890921768">
    <w:abstractNumId w:val="9"/>
  </w:num>
  <w:num w:numId="9" w16cid:durableId="1760445356">
    <w:abstractNumId w:val="1"/>
  </w:num>
  <w:num w:numId="10" w16cid:durableId="821772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92"/>
    <w:rsid w:val="00197A55"/>
    <w:rsid w:val="001E21B9"/>
    <w:rsid w:val="00217892"/>
    <w:rsid w:val="00240135"/>
    <w:rsid w:val="002D1EF6"/>
    <w:rsid w:val="004670A9"/>
    <w:rsid w:val="00540502"/>
    <w:rsid w:val="005C0B7D"/>
    <w:rsid w:val="00604A5B"/>
    <w:rsid w:val="00624518"/>
    <w:rsid w:val="007A50A2"/>
    <w:rsid w:val="007C69C6"/>
    <w:rsid w:val="00A46281"/>
    <w:rsid w:val="00AE2012"/>
    <w:rsid w:val="00B54F62"/>
    <w:rsid w:val="00B760DD"/>
    <w:rsid w:val="00C202E9"/>
    <w:rsid w:val="00CF43A4"/>
    <w:rsid w:val="00D11D1A"/>
    <w:rsid w:val="00D555F2"/>
    <w:rsid w:val="00D7044C"/>
    <w:rsid w:val="00DE0657"/>
    <w:rsid w:val="00E065C5"/>
    <w:rsid w:val="00EC5E84"/>
    <w:rsid w:val="00F51F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9DB05"/>
  <w15:docId w15:val="{A406193C-B83E-44FA-807D-8FAA6B4A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C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59"/>
    <w:rsid w:val="00922BC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51F81"/>
    <w:rPr>
      <w:color w:val="605E5C"/>
      <w:shd w:val="clear" w:color="auto" w:fill="E1DFDD"/>
    </w:rPr>
  </w:style>
  <w:style w:type="paragraph" w:styleId="NormalWeb">
    <w:name w:val="Normal (Web)"/>
    <w:basedOn w:val="Normal"/>
    <w:uiPriority w:val="99"/>
    <w:semiHidden/>
    <w:unhideWhenUsed/>
    <w:rsid w:val="00A46281"/>
    <w:pPr>
      <w:spacing w:before="100" w:beforeAutospacing="1" w:after="100" w:afterAutospacing="1" w:line="240" w:lineRule="auto"/>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copsyc.2025.102200" TargetMode="External"/><Relationship Id="rId18" Type="http://schemas.openxmlformats.org/officeDocument/2006/relationships/hyperlink" Target="https://doi.org/10.5502/ijw.v9i4.931" TargetMode="External"/><Relationship Id="rId26" Type="http://schemas.openxmlformats.org/officeDocument/2006/relationships/hyperlink" Target="https://doi.org/10.1016/j.childyouth.2015.11.022" TargetMode="External"/><Relationship Id="rId21" Type="http://schemas.openxmlformats.org/officeDocument/2006/relationships/hyperlink" Target="https://doi.org/10.1007/s10902-025-00931-2"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1111/cdev.13133" TargetMode="External"/><Relationship Id="rId25" Type="http://schemas.openxmlformats.org/officeDocument/2006/relationships/hyperlink" Target="https://doi.org/10.1080/01434632.2024.2311722" TargetMode="External"/><Relationship Id="rId33" Type="http://schemas.openxmlformats.org/officeDocument/2006/relationships/hyperlink" Target="https://doi.org/10.1787/9203632a-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12187-023-10012-6" TargetMode="External"/><Relationship Id="rId20" Type="http://schemas.openxmlformats.org/officeDocument/2006/relationships/hyperlink" Target="https://doi.org/10.1007/s13158-012-0069-7" TargetMode="External"/><Relationship Id="rId29" Type="http://schemas.openxmlformats.org/officeDocument/2006/relationships/hyperlink" Target="https://doi.org/10.1080/03004430.2018.14457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bonsianturi@upi.edu" TargetMode="External"/><Relationship Id="rId24" Type="http://schemas.openxmlformats.org/officeDocument/2006/relationships/hyperlink" Target="https://doi.org/10.1007/s11482-024-10332-9" TargetMode="External"/><Relationship Id="rId32" Type="http://schemas.openxmlformats.org/officeDocument/2006/relationships/hyperlink" Target="https://doi.org/10.31849/paud-lectura.v4i01.391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0220272.2021.1873130" TargetMode="External"/><Relationship Id="rId23" Type="http://schemas.openxmlformats.org/officeDocument/2006/relationships/hyperlink" Target="https://doi.org/10.31537/jecie.v7i2.1245" TargetMode="External"/><Relationship Id="rId28" Type="http://schemas.openxmlformats.org/officeDocument/2006/relationships/hyperlink" Target="https://doi.org/10.3390/educsci15060649" TargetMode="External"/><Relationship Id="rId36" Type="http://schemas.openxmlformats.org/officeDocument/2006/relationships/header" Target="header2.xml"/><Relationship Id="rId10" Type="http://schemas.openxmlformats.org/officeDocument/2006/relationships/hyperlink" Target="file:///C:\Users\Najwa\Downloads\opik@upi.edu" TargetMode="External"/><Relationship Id="rId19" Type="http://schemas.openxmlformats.org/officeDocument/2006/relationships/hyperlink" Target="https://doi.org/10.1007/s10902-024-00856-2" TargetMode="External"/><Relationship Id="rId31" Type="http://schemas.openxmlformats.org/officeDocument/2006/relationships/hyperlink" Target="https://doi.org/10.17226/29234" TargetMode="External"/><Relationship Id="rId4" Type="http://schemas.openxmlformats.org/officeDocument/2006/relationships/styles" Target="styles.xml"/><Relationship Id="rId9" Type="http://schemas.openxmlformats.org/officeDocument/2006/relationships/hyperlink" Target="file:///C:\Users\Najwa\Downloads\najwafadhilah24@upi.edu" TargetMode="External"/><Relationship Id="rId14" Type="http://schemas.openxmlformats.org/officeDocument/2006/relationships/hyperlink" Target="https://doi.org/10.1007/s12187-007-9003-1" TargetMode="External"/><Relationship Id="rId22" Type="http://schemas.openxmlformats.org/officeDocument/2006/relationships/hyperlink" Target="https://doi.org/10.31537/jecie.v8i1.1522" TargetMode="External"/><Relationship Id="rId27" Type="http://schemas.openxmlformats.org/officeDocument/2006/relationships/hyperlink" Target="https://doi.org/10.1016/j.jbusres.2019.07.039" TargetMode="External"/><Relationship Id="rId30" Type="http://schemas.openxmlformats.org/officeDocument/2006/relationships/hyperlink" Target="https://doi.org/10.31004/obsesi.v6i4.2301"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e/J9WuOmsjCocQ3SC/JEOSbzQ==">CgMxLjAyCWguMzBqMHpsbDIIaC5namRneHM4AHIhMWd6aldmTVJ3ZFNPcUJGdEppeFVxUVNHcENZRkR0WTNj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DFFC03-F27A-4AD1-8C18-F6A6B9E2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Najwa Fadhilah</cp:lastModifiedBy>
  <cp:revision>4</cp:revision>
  <dcterms:created xsi:type="dcterms:W3CDTF">2026-04-23T09:28:00Z</dcterms:created>
  <dcterms:modified xsi:type="dcterms:W3CDTF">2026-04-23T09:34:00Z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 (in-text citations)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8ad2b6d2-14c2-3463-99e0-79ebc36cabd8</vt:lpwstr>
  </property>
</Properties>
</file>