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907C0" w14:textId="1D25B24A" w:rsidR="001448CC" w:rsidRPr="001A02EC" w:rsidRDefault="000B7152" w:rsidP="001448CC">
      <w:pPr>
        <w:pStyle w:val="Judul"/>
        <w:spacing w:after="0"/>
        <w:rPr>
          <w:lang w:val="en-US"/>
        </w:rPr>
      </w:pPr>
      <w:bookmarkStart w:id="0" w:name="_Hlk149122620"/>
      <w:bookmarkStart w:id="1" w:name="_Hlk48621137"/>
      <w:r w:rsidRPr="000B7152">
        <w:rPr>
          <w:lang w:val="en-US"/>
        </w:rPr>
        <w:t xml:space="preserve">A Hybrid Deep Learning and Tree Boosting Approach for BBCA Stock Price Forecasting with SHAP </w:t>
      </w:r>
      <w:proofErr w:type="spellStart"/>
      <w:r w:rsidRPr="000B7152">
        <w:rPr>
          <w:lang w:val="en-US"/>
        </w:rPr>
        <w:t>Explainability</w:t>
      </w:r>
      <w:proofErr w:type="spellEnd"/>
    </w:p>
    <w:bookmarkEnd w:id="0"/>
    <w:p w14:paraId="3D567FA6" w14:textId="77777777" w:rsidR="001448CC" w:rsidRPr="000F4406" w:rsidRDefault="001448CC" w:rsidP="001448CC">
      <w:pPr>
        <w:pStyle w:val="ICTSAuthorIdentity"/>
      </w:pPr>
    </w:p>
    <w:p w14:paraId="3A6BE5D6" w14:textId="17D7A1C8" w:rsidR="001448CC" w:rsidRPr="00F26AF8" w:rsidRDefault="000B7152" w:rsidP="001448CC">
      <w:pPr>
        <w:pStyle w:val="ICTSAuthorIdentity"/>
        <w:rPr>
          <w:i/>
        </w:rPr>
      </w:pPr>
      <w:proofErr w:type="spellStart"/>
      <w:r w:rsidRPr="000B7152">
        <w:rPr>
          <w:b/>
        </w:rPr>
        <w:t>Muhamad</w:t>
      </w:r>
      <w:proofErr w:type="spellEnd"/>
      <w:r w:rsidRPr="000B7152">
        <w:rPr>
          <w:b/>
        </w:rPr>
        <w:t xml:space="preserve"> </w:t>
      </w:r>
      <w:proofErr w:type="spellStart"/>
      <w:r w:rsidRPr="000B7152">
        <w:rPr>
          <w:b/>
        </w:rPr>
        <w:t>Sabri</w:t>
      </w:r>
      <w:proofErr w:type="spellEnd"/>
      <w:r w:rsidRPr="000B7152">
        <w:rPr>
          <w:b/>
        </w:rPr>
        <w:t xml:space="preserve"> Ahmad </w:t>
      </w:r>
      <w:r w:rsidR="001448CC" w:rsidRPr="00AA68F8">
        <w:rPr>
          <w:b/>
          <w:vertAlign w:val="superscript"/>
          <w:lang w:val="id-ID"/>
        </w:rPr>
        <w:t>1</w:t>
      </w:r>
      <w:r w:rsidR="00EF3610">
        <w:rPr>
          <w:b/>
          <w:vertAlign w:val="superscript"/>
          <w:lang w:val="id-ID"/>
        </w:rPr>
        <w:t>*</w:t>
      </w:r>
      <w:r w:rsidR="001448CC">
        <w:rPr>
          <w:b/>
          <w:lang w:val="id-ID"/>
        </w:rPr>
        <w:t xml:space="preserve">, </w:t>
      </w:r>
      <w:r w:rsidRPr="000B7152">
        <w:rPr>
          <w:b/>
        </w:rPr>
        <w:t xml:space="preserve">H. </w:t>
      </w:r>
      <w:proofErr w:type="spellStart"/>
      <w:r w:rsidRPr="000B7152">
        <w:rPr>
          <w:b/>
        </w:rPr>
        <w:t>Hadiyanto</w:t>
      </w:r>
      <w:proofErr w:type="spellEnd"/>
      <w:proofErr w:type="gramStart"/>
      <w:r>
        <w:rPr>
          <w:b/>
        </w:rPr>
        <w:t>,</w:t>
      </w:r>
      <w:r w:rsidR="001448CC" w:rsidRPr="00AA68F8">
        <w:rPr>
          <w:b/>
          <w:vertAlign w:val="superscript"/>
          <w:lang w:val="id-ID"/>
        </w:rPr>
        <w:t>2</w:t>
      </w:r>
      <w:proofErr w:type="gramEnd"/>
      <w:r w:rsidR="001448CC">
        <w:rPr>
          <w:b/>
          <w:vertAlign w:val="superscript"/>
        </w:rPr>
        <w:t xml:space="preserve"> </w:t>
      </w:r>
      <w:proofErr w:type="spellStart"/>
      <w:r w:rsidRPr="000B7152">
        <w:rPr>
          <w:b/>
        </w:rPr>
        <w:t>Ridwan</w:t>
      </w:r>
      <w:proofErr w:type="spellEnd"/>
      <w:r w:rsidRPr="000B7152">
        <w:rPr>
          <w:b/>
        </w:rPr>
        <w:t xml:space="preserve"> </w:t>
      </w:r>
      <w:proofErr w:type="spellStart"/>
      <w:r w:rsidRPr="000B7152">
        <w:rPr>
          <w:b/>
        </w:rPr>
        <w:t>Sanjaya</w:t>
      </w:r>
      <w:proofErr w:type="spellEnd"/>
      <w:r>
        <w:rPr>
          <w:b/>
          <w:vertAlign w:val="superscript"/>
          <w:lang w:val="en-GB"/>
        </w:rPr>
        <w:t>3</w:t>
      </w:r>
    </w:p>
    <w:p w14:paraId="064C7B3F" w14:textId="77777777" w:rsidR="001448CC" w:rsidRPr="00AA68F8" w:rsidRDefault="001448CC" w:rsidP="001448CC">
      <w:pPr>
        <w:pStyle w:val="ICTSAuthorIdentity"/>
        <w:rPr>
          <w:lang w:val="id-ID"/>
        </w:rPr>
      </w:pPr>
    </w:p>
    <w:p w14:paraId="1D3B87E8" w14:textId="77777777" w:rsidR="000B7152" w:rsidRPr="007B4C16" w:rsidRDefault="000B7152" w:rsidP="000B7152">
      <w:pPr>
        <w:rPr>
          <w:sz w:val="20"/>
          <w:szCs w:val="20"/>
        </w:rPr>
      </w:pPr>
      <w:r w:rsidRPr="007B4C16">
        <w:rPr>
          <w:sz w:val="20"/>
          <w:szCs w:val="20"/>
          <w:vertAlign w:val="superscript"/>
          <w:lang w:eastAsia="zh-CN"/>
        </w:rPr>
        <w:t xml:space="preserve">1 </w:t>
      </w:r>
      <w:r w:rsidRPr="007B4C16">
        <w:rPr>
          <w:sz w:val="20"/>
          <w:szCs w:val="20"/>
        </w:rPr>
        <w:t xml:space="preserve">Doctoral Program in Information Systems, </w:t>
      </w:r>
      <w:proofErr w:type="spellStart"/>
      <w:r w:rsidRPr="007B4C16">
        <w:rPr>
          <w:sz w:val="20"/>
          <w:szCs w:val="20"/>
        </w:rPr>
        <w:t>Universitas</w:t>
      </w:r>
      <w:proofErr w:type="spellEnd"/>
      <w:r w:rsidRPr="007B4C16">
        <w:rPr>
          <w:sz w:val="20"/>
          <w:szCs w:val="20"/>
        </w:rPr>
        <w:t xml:space="preserve"> </w:t>
      </w:r>
      <w:proofErr w:type="spellStart"/>
      <w:r w:rsidRPr="007B4C16">
        <w:rPr>
          <w:sz w:val="20"/>
          <w:szCs w:val="20"/>
        </w:rPr>
        <w:t>Diponegoro</w:t>
      </w:r>
      <w:proofErr w:type="spellEnd"/>
      <w:r w:rsidRPr="007B4C16">
        <w:rPr>
          <w:sz w:val="20"/>
          <w:szCs w:val="20"/>
        </w:rPr>
        <w:t>, Semarang, Indonesia</w:t>
      </w:r>
    </w:p>
    <w:p w14:paraId="0FD99A96" w14:textId="77777777" w:rsidR="000B7152" w:rsidRPr="007B4C16" w:rsidRDefault="000B7152" w:rsidP="000B7152">
      <w:pPr>
        <w:rPr>
          <w:sz w:val="20"/>
          <w:szCs w:val="20"/>
        </w:rPr>
      </w:pPr>
      <w:r w:rsidRPr="007B4C16">
        <w:rPr>
          <w:sz w:val="20"/>
          <w:szCs w:val="20"/>
          <w:vertAlign w:val="superscript"/>
          <w:lang w:eastAsia="zh-CN"/>
        </w:rPr>
        <w:t xml:space="preserve">1 </w:t>
      </w:r>
      <w:r w:rsidRPr="007B4C16">
        <w:rPr>
          <w:sz w:val="20"/>
          <w:szCs w:val="20"/>
        </w:rPr>
        <w:t xml:space="preserve">Department of Informatics Engineering, Faculty of Engineering, </w:t>
      </w:r>
      <w:proofErr w:type="spellStart"/>
      <w:r w:rsidRPr="007B4C16">
        <w:rPr>
          <w:sz w:val="20"/>
          <w:szCs w:val="20"/>
        </w:rPr>
        <w:t>Universitas</w:t>
      </w:r>
      <w:proofErr w:type="spellEnd"/>
      <w:r w:rsidRPr="007B4C16">
        <w:rPr>
          <w:sz w:val="20"/>
          <w:szCs w:val="20"/>
        </w:rPr>
        <w:t xml:space="preserve"> </w:t>
      </w:r>
      <w:proofErr w:type="spellStart"/>
      <w:r w:rsidRPr="007B4C16">
        <w:rPr>
          <w:sz w:val="20"/>
          <w:szCs w:val="20"/>
        </w:rPr>
        <w:t>Khairun</w:t>
      </w:r>
      <w:proofErr w:type="spellEnd"/>
      <w:r w:rsidRPr="007B4C16">
        <w:rPr>
          <w:sz w:val="20"/>
          <w:szCs w:val="20"/>
        </w:rPr>
        <w:t>, Ternate, Indonesia</w:t>
      </w:r>
    </w:p>
    <w:p w14:paraId="2A0C3506" w14:textId="77777777" w:rsidR="000B7152" w:rsidRPr="007B4C16" w:rsidRDefault="000B7152" w:rsidP="000B7152">
      <w:pPr>
        <w:rPr>
          <w:sz w:val="20"/>
          <w:szCs w:val="20"/>
          <w:lang w:eastAsia="zh-CN"/>
        </w:rPr>
      </w:pPr>
      <w:r w:rsidRPr="007B4C16">
        <w:rPr>
          <w:sz w:val="20"/>
          <w:szCs w:val="20"/>
          <w:vertAlign w:val="superscript"/>
          <w:lang w:eastAsia="zh-CN"/>
        </w:rPr>
        <w:t xml:space="preserve">2 </w:t>
      </w:r>
      <w:r w:rsidRPr="007B4C16">
        <w:rPr>
          <w:sz w:val="20"/>
          <w:szCs w:val="20"/>
        </w:rPr>
        <w:t xml:space="preserve">Chemical Engineering Department, Faculty of Engineering, </w:t>
      </w:r>
      <w:proofErr w:type="spellStart"/>
      <w:r w:rsidRPr="007B4C16">
        <w:rPr>
          <w:sz w:val="20"/>
          <w:szCs w:val="20"/>
        </w:rPr>
        <w:t>Diponegoro</w:t>
      </w:r>
      <w:proofErr w:type="spellEnd"/>
      <w:r w:rsidRPr="007B4C16">
        <w:rPr>
          <w:sz w:val="20"/>
          <w:szCs w:val="20"/>
        </w:rPr>
        <w:t xml:space="preserve"> University, Semarang, Indonesia</w:t>
      </w:r>
    </w:p>
    <w:p w14:paraId="2C1B2D68" w14:textId="315AFA6D" w:rsidR="001448CC" w:rsidRPr="00F26AF8" w:rsidRDefault="000B7152" w:rsidP="007B4C16">
      <w:pPr>
        <w:pStyle w:val="ICTSAuthorIdentity"/>
        <w:jc w:val="left"/>
      </w:pPr>
      <w:r w:rsidRPr="009B7150">
        <w:rPr>
          <w:vertAlign w:val="superscript"/>
          <w:lang w:eastAsia="zh-CN"/>
        </w:rPr>
        <w:t xml:space="preserve">3 </w:t>
      </w:r>
      <w:r>
        <w:t xml:space="preserve">Department of Information Systems, Faculty of Computer Science, </w:t>
      </w:r>
      <w:proofErr w:type="spellStart"/>
      <w:r>
        <w:t>Soegijapranata</w:t>
      </w:r>
      <w:proofErr w:type="spellEnd"/>
      <w:r>
        <w:t xml:space="preserve"> Catholic University, Semarang, Indonesia</w:t>
      </w:r>
    </w:p>
    <w:p w14:paraId="6B08D01E" w14:textId="77777777" w:rsidR="0070707C" w:rsidRDefault="0070707C" w:rsidP="001448CC">
      <w:pPr>
        <w:pStyle w:val="BodyText"/>
        <w:rPr>
          <w:lang w:val="id-ID"/>
        </w:rPr>
      </w:pPr>
    </w:p>
    <w:p w14:paraId="156D313F" w14:textId="5F23F8B3" w:rsidR="001448CC" w:rsidRDefault="001448CC" w:rsidP="001448CC">
      <w:pPr>
        <w:pStyle w:val="BodyText"/>
        <w:rPr>
          <w:lang w:val="id-ID"/>
        </w:rPr>
      </w:pPr>
      <w:r w:rsidRPr="00AA68F8">
        <w:rPr>
          <w:lang w:val="id-ID"/>
        </w:rPr>
        <w:t>(</w:t>
      </w:r>
      <w:r w:rsidR="00E62691">
        <w:t>Received</w:t>
      </w:r>
      <w:r w:rsidRPr="00AA68F8">
        <w:rPr>
          <w:lang w:val="id-ID"/>
        </w:rPr>
        <w:t xml:space="preserve">: </w:t>
      </w:r>
      <w:proofErr w:type="spellStart"/>
      <w:r>
        <w:t>dd</w:t>
      </w:r>
      <w:proofErr w:type="spellEnd"/>
      <w:r w:rsidRPr="00AA68F8">
        <w:rPr>
          <w:lang w:val="id-ID"/>
        </w:rPr>
        <w:t xml:space="preserve"> </w:t>
      </w:r>
      <w:r>
        <w:t xml:space="preserve">mmm </w:t>
      </w:r>
      <w:proofErr w:type="spellStart"/>
      <w:r>
        <w:t>yyyy</w:t>
      </w:r>
      <w:proofErr w:type="spellEnd"/>
      <w:r>
        <w:t>,</w:t>
      </w:r>
      <w:r w:rsidRPr="00AA68F8">
        <w:rPr>
          <w:lang w:val="id-ID"/>
        </w:rPr>
        <w:t xml:space="preserve"> </w:t>
      </w:r>
      <w:r w:rsidR="00E62691">
        <w:t>Revised</w:t>
      </w:r>
      <w:r w:rsidRPr="00AA68F8">
        <w:rPr>
          <w:lang w:val="id-ID"/>
        </w:rPr>
        <w:t xml:space="preserve">: </w:t>
      </w:r>
      <w:proofErr w:type="spellStart"/>
      <w:r>
        <w:t>dd</w:t>
      </w:r>
      <w:proofErr w:type="spellEnd"/>
      <w:r w:rsidRPr="00AA68F8">
        <w:rPr>
          <w:lang w:val="id-ID"/>
        </w:rPr>
        <w:t xml:space="preserve"> </w:t>
      </w:r>
      <w:r>
        <w:t>mmm</w:t>
      </w:r>
      <w:r w:rsidRPr="00AA68F8">
        <w:rPr>
          <w:lang w:val="id-ID"/>
        </w:rPr>
        <w:t xml:space="preserve"> </w:t>
      </w:r>
      <w:proofErr w:type="spellStart"/>
      <w:r>
        <w:t>yyyy</w:t>
      </w:r>
      <w:proofErr w:type="spellEnd"/>
      <w:r w:rsidR="00E62691">
        <w:t>, Accepted:</w:t>
      </w:r>
      <w:r w:rsidR="00E62691" w:rsidRPr="00AA68F8">
        <w:rPr>
          <w:lang w:val="id-ID"/>
        </w:rPr>
        <w:t xml:space="preserve"> </w:t>
      </w:r>
      <w:proofErr w:type="spellStart"/>
      <w:r w:rsidR="00E62691">
        <w:t>dd</w:t>
      </w:r>
      <w:proofErr w:type="spellEnd"/>
      <w:r w:rsidR="00E62691" w:rsidRPr="00AA68F8">
        <w:rPr>
          <w:lang w:val="id-ID"/>
        </w:rPr>
        <w:t xml:space="preserve"> </w:t>
      </w:r>
      <w:r w:rsidR="00E62691">
        <w:t>mmm</w:t>
      </w:r>
      <w:r w:rsidR="00E62691" w:rsidRPr="00AA68F8">
        <w:rPr>
          <w:lang w:val="id-ID"/>
        </w:rPr>
        <w:t xml:space="preserve"> </w:t>
      </w:r>
      <w:proofErr w:type="spellStart"/>
      <w:r w:rsidR="00E62691">
        <w:t>yyyy</w:t>
      </w:r>
      <w:proofErr w:type="spellEnd"/>
      <w:r w:rsidRPr="00AA68F8">
        <w:rPr>
          <w:lang w:val="id-ID"/>
        </w:rPr>
        <w:t>)</w:t>
      </w:r>
    </w:p>
    <w:p w14:paraId="3A0A5299" w14:textId="77777777" w:rsidR="001448CC" w:rsidRPr="00AA68F8" w:rsidRDefault="001448CC" w:rsidP="001448CC">
      <w:pPr>
        <w:pStyle w:val="BodyText"/>
        <w:jc w:val="left"/>
        <w:rPr>
          <w:lang w:val="id-ID"/>
        </w:rPr>
      </w:pPr>
    </w:p>
    <w:p w14:paraId="21FD93EE" w14:textId="0A45F9DF" w:rsidR="001448CC" w:rsidRDefault="001448CC" w:rsidP="00FD0E79">
      <w:pPr>
        <w:pStyle w:val="Judul2"/>
        <w:spacing w:before="0" w:after="0"/>
        <w:rPr>
          <w:b w:val="0"/>
        </w:rPr>
      </w:pPr>
      <w:r w:rsidRPr="00BC35E9">
        <w:t>Abstr</w:t>
      </w:r>
      <w:r w:rsidR="00FD0E79">
        <w:rPr>
          <w:lang w:val="en-US"/>
        </w:rPr>
        <w:t>act</w:t>
      </w:r>
      <w:r>
        <w:rPr>
          <w:lang w:val="en-US"/>
        </w:rPr>
        <w:t xml:space="preserve"> </w:t>
      </w:r>
    </w:p>
    <w:p w14:paraId="1820DAD2" w14:textId="77777777" w:rsidR="001448CC" w:rsidRPr="00F26AF8" w:rsidRDefault="001448CC" w:rsidP="001448CC">
      <w:pPr>
        <w:pStyle w:val="Judul2"/>
        <w:spacing w:before="0" w:after="0"/>
        <w:rPr>
          <w:b w:val="0"/>
          <w:lang w:val="en-US"/>
        </w:rPr>
      </w:pPr>
    </w:p>
    <w:p w14:paraId="60552562" w14:textId="52A79054" w:rsidR="001448CC" w:rsidRDefault="00211834" w:rsidP="00211834">
      <w:pPr>
        <w:pStyle w:val="Abstrak"/>
      </w:pPr>
      <w:bookmarkStart w:id="2" w:name="_Hlk149122187"/>
      <w:r>
        <w:t>Forecasting stock price movement is a complex task due to nonlinear patterns, market volatility, and the influence of various technical and fundamental factors. This study proposes a hybrid forecasting framework that integrates the sequential learning capability of the Gated Recurrent Unit (GRU) with the nonlinear regression strength of Extreme Gradient Boosting (XGBoost) to predict the daily closing price of Bank Central Asia Tbk (BBCA). The dataset consists of historical BBCA prices from 2017 to 2025 and includes technical indicators such as moving averages, RSI, MACD, and Bollinger Bands. An 80:20 chronological split was used to evaluate model generalization through MAE, RMSE, MAPE, and R² metrics. Experimental results show that the hybrid GRU–XGBoost model outperforms both standalone GRU and XGBoost models, achieving the best performance with MAE of 229.09, RMSE of 312.26, and R² of 0.874.</w:t>
      </w:r>
      <w:r>
        <w:rPr>
          <w:lang w:val="en-GB"/>
        </w:rPr>
        <w:t xml:space="preserve"> </w:t>
      </w:r>
      <w:r>
        <w:t>Furthermore, SHAP-based explainability analysis highlights that price-based features and trend–momentum indicators contribute most significantly to the prediction output, while the GRU-derived sequential feature enhances temporal pattern recognition. These findings demonstrate that combining deep learning and boosting techniques produces a more accurate and interpretable forecasting model suitable for financial decision-making and risk analysis.</w:t>
      </w:r>
      <w:r w:rsidR="00FD0E79" w:rsidRPr="00FD0E79">
        <w:t xml:space="preserve">. </w:t>
      </w:r>
    </w:p>
    <w:bookmarkEnd w:id="2"/>
    <w:p w14:paraId="3D880F7F" w14:textId="77777777" w:rsidR="001448CC" w:rsidRPr="00327B83" w:rsidRDefault="001448CC" w:rsidP="001448CC">
      <w:pPr>
        <w:pStyle w:val="Abstrak"/>
        <w:jc w:val="center"/>
        <w:rPr>
          <w:lang w:val="en-US"/>
        </w:rPr>
      </w:pPr>
    </w:p>
    <w:p w14:paraId="2416D7E0" w14:textId="7FEC54A7" w:rsidR="001448CC" w:rsidRPr="00FD0E79" w:rsidRDefault="00FD0E79" w:rsidP="00FD0E79">
      <w:pPr>
        <w:pStyle w:val="BodyText"/>
        <w:jc w:val="both"/>
        <w:rPr>
          <w:i/>
          <w:lang w:val="id-ID"/>
        </w:rPr>
      </w:pPr>
      <w:r>
        <w:rPr>
          <w:b/>
        </w:rPr>
        <w:t>Keywords</w:t>
      </w:r>
      <w:r w:rsidR="001448CC" w:rsidRPr="00AA68F8">
        <w:rPr>
          <w:lang w:val="id-ID"/>
        </w:rPr>
        <w:t xml:space="preserve">: </w:t>
      </w:r>
      <w:r w:rsidR="00211834" w:rsidRPr="00211834">
        <w:rPr>
          <w:i/>
          <w:lang w:val="id-ID"/>
        </w:rPr>
        <w:t>stock forecasting, GRU, XGBoost, hybrid model, SHAP, BBCA</w:t>
      </w:r>
    </w:p>
    <w:p w14:paraId="1B6470C9" w14:textId="3E8856BD" w:rsidR="001448CC" w:rsidRDefault="001448CC" w:rsidP="00FD0E79">
      <w:pPr>
        <w:pStyle w:val="Judul2"/>
        <w:spacing w:before="0" w:after="0"/>
        <w:jc w:val="left"/>
        <w:rPr>
          <w:b w:val="0"/>
          <w:lang w:val="en-US"/>
        </w:rPr>
      </w:pPr>
    </w:p>
    <w:p w14:paraId="1FE9BEBA" w14:textId="77777777" w:rsidR="00635669" w:rsidRPr="00CC56A4" w:rsidRDefault="00635669" w:rsidP="00635669">
      <w:pPr>
        <w:spacing w:before="120" w:after="120"/>
        <w:rPr>
          <w:i/>
          <w:iCs/>
          <w:sz w:val="18"/>
          <w:szCs w:val="18"/>
        </w:rPr>
      </w:pPr>
      <w:bookmarkStart w:id="3" w:name="_Hlk152527082"/>
      <w:r w:rsidRPr="00CC56A4">
        <w:rPr>
          <w:i/>
          <w:iCs/>
          <w:sz w:val="18"/>
          <w:szCs w:val="18"/>
        </w:rPr>
        <w:t>This is an open access article under the</w:t>
      </w:r>
      <w:r w:rsidRPr="009035DA">
        <w:rPr>
          <w:i/>
          <w:iCs/>
          <w:color w:val="0000FF"/>
          <w:sz w:val="18"/>
          <w:szCs w:val="18"/>
        </w:rPr>
        <w:t xml:space="preserve"> </w:t>
      </w:r>
      <w:hyperlink r:id="rId8" w:history="1">
        <w:r w:rsidRPr="009035DA">
          <w:rPr>
            <w:rStyle w:val="Hyperlink"/>
            <w:i/>
            <w:sz w:val="18"/>
            <w:szCs w:val="18"/>
          </w:rPr>
          <w:t>CC BY</w:t>
        </w:r>
      </w:hyperlink>
      <w:r w:rsidRPr="00CC56A4">
        <w:rPr>
          <w:i/>
          <w:iCs/>
          <w:sz w:val="18"/>
          <w:szCs w:val="18"/>
        </w:rPr>
        <w:t xml:space="preserve"> license.</w:t>
      </w:r>
    </w:p>
    <w:bookmarkEnd w:id="3"/>
    <w:p w14:paraId="76B0B72E" w14:textId="7C5E6E57" w:rsidR="00DD35BF" w:rsidRDefault="00DD35BF" w:rsidP="00635669">
      <w:pPr>
        <w:rPr>
          <w:i/>
          <w:iCs/>
          <w:color w:val="000000"/>
          <w:sz w:val="18"/>
          <w:szCs w:val="18"/>
        </w:rPr>
      </w:pPr>
      <w:r>
        <w:rPr>
          <w:noProof/>
        </w:rPr>
        <w:drawing>
          <wp:inline distT="0" distB="0" distL="0" distR="0" wp14:anchorId="55ABCEA8" wp14:editId="0513E47A">
            <wp:extent cx="1057275" cy="388620"/>
            <wp:effectExtent l="0" t="0" r="9525" b="0"/>
            <wp:docPr id="1" name="Picture 1" descr="Download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 - Creative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88620"/>
                    </a:xfrm>
                    <a:prstGeom prst="rect">
                      <a:avLst/>
                    </a:prstGeom>
                    <a:noFill/>
                    <a:ln>
                      <a:noFill/>
                    </a:ln>
                  </pic:spPr>
                </pic:pic>
              </a:graphicData>
            </a:graphic>
          </wp:inline>
        </w:drawing>
      </w:r>
    </w:p>
    <w:p w14:paraId="0F746FF9" w14:textId="10DB29C3" w:rsidR="00FD0E79" w:rsidRDefault="00FD0E79" w:rsidP="00FD0E79">
      <w:pPr>
        <w:pStyle w:val="Judul2"/>
        <w:spacing w:before="0" w:after="0"/>
        <w:jc w:val="left"/>
        <w:rPr>
          <w:b w:val="0"/>
          <w:lang w:val="en-US"/>
        </w:rPr>
      </w:pPr>
    </w:p>
    <w:p w14:paraId="399C959E" w14:textId="77777777" w:rsidR="004578EA" w:rsidRDefault="004578EA" w:rsidP="00FD0E79">
      <w:pPr>
        <w:pStyle w:val="Judul2"/>
        <w:spacing w:before="0" w:after="0"/>
        <w:jc w:val="left"/>
        <w:rPr>
          <w:b w:val="0"/>
          <w:lang w:val="en-US"/>
        </w:rPr>
      </w:pPr>
    </w:p>
    <w:p w14:paraId="6207CD14" w14:textId="0EF982E9" w:rsidR="004578EA" w:rsidRPr="004578EA" w:rsidRDefault="00C77560" w:rsidP="004578EA">
      <w:pPr>
        <w:pStyle w:val="ICTSAuthorIdentity"/>
        <w:jc w:val="left"/>
        <w:rPr>
          <w:i/>
          <w:iCs/>
        </w:rPr>
      </w:pPr>
      <w:r>
        <w:rPr>
          <w:i/>
          <w:iCs/>
        </w:rPr>
        <w:t>*</w:t>
      </w:r>
      <w:r w:rsidR="004578EA" w:rsidRPr="004578EA">
        <w:rPr>
          <w:i/>
          <w:iCs/>
        </w:rPr>
        <w:t xml:space="preserve">Corresponding Author: </w:t>
      </w:r>
      <w:r w:rsidR="00211834">
        <w:t>msabri@unkhair.ac.id, msabri@students.undip.ac.id</w:t>
      </w:r>
    </w:p>
    <w:p w14:paraId="39898876" w14:textId="77777777" w:rsidR="001448CC" w:rsidRDefault="001448CC" w:rsidP="001448CC">
      <w:pPr>
        <w:pBdr>
          <w:bottom w:val="single" w:sz="4" w:space="1" w:color="auto"/>
        </w:pBdr>
        <w:rPr>
          <w:b/>
          <w:color w:val="000000"/>
          <w:sz w:val="20"/>
          <w:szCs w:val="20"/>
        </w:rPr>
      </w:pPr>
    </w:p>
    <w:p w14:paraId="2CCD362D" w14:textId="77777777" w:rsidR="001448CC" w:rsidRPr="00F76369" w:rsidRDefault="001448CC" w:rsidP="001448CC">
      <w:pPr>
        <w:tabs>
          <w:tab w:val="left" w:pos="1872"/>
        </w:tabs>
        <w:rPr>
          <w:b/>
          <w:color w:val="000000"/>
          <w:sz w:val="20"/>
          <w:szCs w:val="20"/>
        </w:rPr>
        <w:sectPr w:rsidR="001448CC" w:rsidRPr="00F76369" w:rsidSect="00905A5C">
          <w:headerReference w:type="even" r:id="rId10"/>
          <w:headerReference w:type="default" r:id="rId11"/>
          <w:headerReference w:type="first" r:id="rId12"/>
          <w:footerReference w:type="first" r:id="rId13"/>
          <w:pgSz w:w="11907" w:h="16840" w:code="9"/>
          <w:pgMar w:top="1701" w:right="1134" w:bottom="1134" w:left="1701" w:header="1134" w:footer="851" w:gutter="0"/>
          <w:cols w:space="720"/>
          <w:titlePg/>
          <w:docGrid w:linePitch="326"/>
        </w:sectPr>
      </w:pPr>
      <w:r>
        <w:rPr>
          <w:b/>
          <w:color w:val="000000"/>
          <w:sz w:val="20"/>
          <w:szCs w:val="20"/>
        </w:rPr>
        <w:tab/>
      </w:r>
    </w:p>
    <w:p w14:paraId="57A4288C" w14:textId="40C7B5FF" w:rsidR="001448CC" w:rsidRPr="006426AE" w:rsidRDefault="001A02EC" w:rsidP="001A02EC">
      <w:pPr>
        <w:pStyle w:val="Heading1"/>
        <w:tabs>
          <w:tab w:val="clear" w:pos="360"/>
        </w:tabs>
        <w:spacing w:before="120"/>
      </w:pPr>
      <w:r>
        <w:rPr>
          <w:lang w:val="en-US"/>
        </w:rPr>
        <w:lastRenderedPageBreak/>
        <w:t>INTRODUCTION</w:t>
      </w:r>
      <w:r w:rsidR="001448CC">
        <w:rPr>
          <w:b w:val="0"/>
          <w:lang w:val="en-US"/>
        </w:rPr>
        <w:t xml:space="preserve"> </w:t>
      </w:r>
    </w:p>
    <w:p w14:paraId="4CE487A2" w14:textId="0035EE63" w:rsidR="003A74D8" w:rsidRDefault="003A74D8" w:rsidP="003A74D8">
      <w:pPr>
        <w:pStyle w:val="Body"/>
        <w:ind w:firstLine="360"/>
      </w:pPr>
      <w:bookmarkStart w:id="4" w:name="_Hlk149122251"/>
      <w:r>
        <w:t xml:space="preserve">The stock market plays a crucial role in supporting national economic growth, where price movements of blue-chip stocks often become indicators of market stability. One of the most influential stocks in the Indonesian capital market is Bank Central Asia Tbk (BBCA), which is known for its high liquidity and relatively stable long-term performance </w:t>
      </w:r>
      <w:r w:rsidR="00B238E4">
        <w:fldChar w:fldCharType="begin" w:fldLock="1"/>
      </w:r>
      <w:r w:rsidR="00B238E4">
        <w:instrText>ADDIN CSL_CITATION {"citationItems":[{"id":"ITEM-1","itemData":{"DOI":"10.1016/j.jrtpm.2025.100532","ISSN":"22109706","abstract":"Passing a Stop Signal (PASS) is a critical safety concern in railway operations, with the potential to cause serious accidents. This study investigates non-human contributing factors to PASS events in Canadian mainline freight operations using machine learning. We analyze incident narratives from the Rail Occurrence Database System (RODS) through text mining and enrich them with geospatial and weather data. We develop a binary classification model using XGBoost and interpret feature importance and interactions with SHAP (SHapley Additive exPlanations). To address class imbalance and improve model performance, we apply a custom sampling method, combined with hyperparameter tuning and data standardization. Key contributors to PASS events include sharp track curvature near signals, downhill grades, low atmospheric pressure, high relative humidity, non-clear weather, and heavy traffic—placing Rocky Mountain subdivisions among the highest-risk areas. The model also reveals that combinations of environmental conditions, such as low temperature, low pressure, and high humidity, increase the likelihood of PASS events by reducing visibility and braking effectiveness. This study offers methodological and empirical contributions by modelling complex operational contexts, incorporating underexplored environmental factors, and producing region-specific insights. The proposed framework informs proactive safety strategies and supports risk analysis in other linear infrastructure systems.","author":[{"dropping-particle":"","family":"Rad","given":"Mona Ahmadi","non-dropping-particle":"","parse-names":false,"suffix":""},{"dropping-particle":"","family":"Lefsrud","given":"Lianne M.","non-dropping-particle":"","parse-names":false,"suffix":""},{"dropping-particle":"","family":"Hendry","given":"Michael T.","non-dropping-particle":"","parse-names":false,"suffix":""},{"dropping-particle":"","family":"Cen","given":"Asdrubal Cheng","non-dropping-particle":"","parse-names":false,"suffix":""},{"dropping-particle":"","family":"Soltaninejad","given":"Sara","non-dropping-particle":"","parse-names":false,"suffix":""}],"container-title":"Journal of Rail Transport Planning and Management","id":"ITEM-1","issue":"April","issued":{"date-parts":[["2025"]]},"page":"100532","publisher":"Elsevier Ltd","title":"Analysis of freight train passing a stop signal using machine learning: Application of XGBoost and SHAP","type":"article-journal","volume":"35"},"uris":["http://www.mendeley.com/documents/?uuid=2c94f37f-a453-4d06-801e-0884a3cd8171"]}],"mendeley":{"formattedCitation":"[1]","plainTextFormattedCitation":"[1]","previouslyFormattedCitation":"[1]"},"properties":{"noteIndex":0},"schema":"https://github.com/citation-style-language/schema/raw/master/csl-citation.json"}</w:instrText>
      </w:r>
      <w:r w:rsidR="00B238E4">
        <w:fldChar w:fldCharType="separate"/>
      </w:r>
      <w:r w:rsidR="00B238E4" w:rsidRPr="00B238E4">
        <w:rPr>
          <w:noProof/>
        </w:rPr>
        <w:t>[1]</w:t>
      </w:r>
      <w:r w:rsidR="00B238E4">
        <w:fldChar w:fldCharType="end"/>
      </w:r>
      <w:r w:rsidR="00B238E4">
        <w:t>,</w:t>
      </w:r>
      <w:r w:rsidR="00B238E4">
        <w:fldChar w:fldCharType="begin" w:fldLock="1"/>
      </w:r>
      <w:r w:rsidR="00B238E4">
        <w:instrText>ADDIN CSL_CITATION {"citationItems":[{"id":"ITEM-1","itemData":{"DOI":"10.1016/j.eswa.2023.120346","ISSN":"09574174","abstract":"The stock market is a financial market where shares of publicly listed corporations are purchased and sold. It is an indicator of a country's economic health, reflecting the performance of companies and the overall business environment. The prices of stocks are determined by supply and demand. Investing in the stock market can be risky, but it can offer the potential for significant returns over the long term. Artificial intelligence, including the stock market, has become increasingly prevalent in the financial sector. Long Short-Term Memory (LSTM) is a type of artificial neural network that is often used in time series analysis. It can effectively predict stock market prices by handling data with multiple input and output timesteps. Metaheuristic algorithms, such as Artificial Rabbits Optimization algorithm (ARO), can be used to optimize the hyperparameters of an LSTM model and improve the accuracy of stock market predictions. In this paper, an optimized deep LSTM network with the ARO model (LSTM-ARO) is created to predict stock prices. DJIA index stocks are used as the dataset. LSTM-ARO is compared with one artificial neural network (ANN) model, three different LSTM models, and LSTM optimized by Genetic Algorithm (GA) model. All the models are tested on MSE, MAE, MAPE, and R2 evaluation criteria. The results show that LSTM-ARO overcomes the other models.","author":[{"dropping-particle":"","family":"Gülmez","given":"Burak","non-dropping-particle":"","parse-names":false,"suffix":""}],"container-title":"Expert Systems with Applications","id":"ITEM-1","issue":"May","issued":{"date-parts":[["2023"]]},"page":"120346","publisher":"Elsevier Ltd","title":"Stock price prediction with optimized deep LSTM network with artificial rabbits optimization algorithm","type":"article-journal","volume":"227"},"uris":["http://www.mendeley.com/documents/?uuid=3b354359-827a-48f5-be19-02bcb95f014d"]}],"mendeley":{"formattedCitation":"[2]","plainTextFormattedCitation":"[2]","previouslyFormattedCitation":"[2]"},"properties":{"noteIndex":0},"schema":"https://github.com/citation-style-language/schema/raw/master/csl-citation.json"}</w:instrText>
      </w:r>
      <w:r w:rsidR="00B238E4">
        <w:fldChar w:fldCharType="separate"/>
      </w:r>
      <w:r w:rsidR="00B238E4" w:rsidRPr="00B238E4">
        <w:rPr>
          <w:noProof/>
        </w:rPr>
        <w:t>[2]</w:t>
      </w:r>
      <w:r w:rsidR="00B238E4">
        <w:fldChar w:fldCharType="end"/>
      </w:r>
      <w:r w:rsidR="00B238E4">
        <w:t>,</w:t>
      </w:r>
      <w:r w:rsidR="00B238E4">
        <w:fldChar w:fldCharType="begin" w:fldLock="1"/>
      </w:r>
      <w:r w:rsidR="00B238E4">
        <w:instrText>ADDIN CSL_CITATION {"citationItems":[{"id":"ITEM-1","itemData":{"DOI":"10.1109/CEEPE58418.2023.10167250","ISBN":"9798350348279","author":[{"dropping-particle":"","family":"Che","given":"Jianfeng","non-dropping-particle":"","parse-names":false,"suffix":""}],"container-title":"2023 6th International Conference on Energy, Electrical and Power Engineering (CEEPE)","id":"ITEM-1","issued":{"date-parts":[["2023"]]},"page":"1225-1229","publisher":"IEEE","title":"A Short-Term Hybrid Prediction Model for Offshore Wind Power Based on EEMD and LSTM","type":"article-journal"},"uris":["http://www.mendeley.com/documents/?uuid=806951ac-db6e-436b-a608-a26cc051fd2c"]}],"mendeley":{"formattedCitation":"[3]","plainTextFormattedCitation":"[3]","previouslyFormattedCitation":"[3]"},"properties":{"noteIndex":0},"schema":"https://github.com/citation-style-language/schema/raw/master/csl-citation.json"}</w:instrText>
      </w:r>
      <w:r w:rsidR="00B238E4">
        <w:fldChar w:fldCharType="separate"/>
      </w:r>
      <w:r w:rsidR="00B238E4" w:rsidRPr="00B238E4">
        <w:rPr>
          <w:noProof/>
        </w:rPr>
        <w:t>[3]</w:t>
      </w:r>
      <w:r w:rsidR="00B238E4">
        <w:fldChar w:fldCharType="end"/>
      </w:r>
      <w:r>
        <w:t>. Despite its stability, BBCA’s price remains highly dynamic due to macroeconomic conditions, investor sentiment, and global market volatility. These dynamics make accurate stock price forecasting an important aspect for investors, analysts, and financial institutions.</w:t>
      </w:r>
    </w:p>
    <w:p w14:paraId="4DFDCE9F" w14:textId="7EAD09AA" w:rsidR="003A74D8" w:rsidRDefault="003A74D8" w:rsidP="003A74D8">
      <w:pPr>
        <w:pStyle w:val="Body"/>
        <w:ind w:firstLine="360"/>
      </w:pPr>
      <w:r>
        <w:t xml:space="preserve">Traditional time series forecasting approaches such as the Autoregressive Integrated Moving Average (ARIMA) model have been widely used in </w:t>
      </w:r>
      <w:r>
        <w:lastRenderedPageBreak/>
        <w:t xml:space="preserve">financial analysis due to their mathematical simplicity and interpretability. However, these linear models struggle to capture nonlinear and complex patterns commonly found in stock market movements </w:t>
      </w:r>
      <w:r w:rsidR="00B238E4">
        <w:fldChar w:fldCharType="begin" w:fldLock="1"/>
      </w:r>
      <w:r w:rsidR="00B238E4">
        <w:instrText>ADDIN CSL_CITATION {"citationItems":[{"id":"ITEM-1","itemData":{"DOI":"10.1016/j.jii.2024.100711","ISSN":"2452414X","abstract":"The prediction of stock prices is a complex task due to the influence of various factors, high noise, and nonlinearity. This paper focuses on addressing the challenges of low prediction accuracy and poor stability, which have been a key area of interest in academic research. We proposed an optimized ensemble model that combines an LSTM-based attention mechanism and a cyclic multidimensional gray model, utilizing multi-source heterogeneous data. Our results demonstrate that the ensemble model achieves improved prediction accuracy, exhibits a good fitting effect, and outperforms individual models. The ensemble model yields smaller Mean Absolute Error (MAE), Mean Absolute Percentage Error (MAPE), and Root Mean Square Error (RMSE) values compared to the LSTM-based attention mechanism model and the multidimensional gray model. Furthermore, the ensemble model shows enhanced coefficient of determination (R2). Comparative analysis with alternative models such as ARIMA, GRU, CNN, and CNN-GRU reveals that the ensemble model achieves significant advancements in prediction accuracy.","author":[{"dropping-particle":"","family":"Liu","given":"Qingyang","non-dropping-particle":"","parse-names":false,"suffix":""},{"dropping-particle":"","family":"Hu","given":"Yanrong","non-dropping-particle":"","parse-names":false,"suffix":""},{"dropping-particle":"","family":"Liu","given":"Hongjiu","non-dropping-particle":"","parse-names":false,"suffix":""}],"container-title":"Journal of Industrial Information Integration","id":"ITEM-1","issue":"November","issued":{"date-parts":[["2024"]]},"page":"100711","publisher":"Elsevier Inc.","title":"Enhanced stock price prediction with optimized ensemble modeling using multi-source heterogeneous data: Integrating LSTM attention mechanism and multidimensional gray model","type":"article-journal","volume":"42"},"uris":["http://www.mendeley.com/documents/?uuid=fa7432bb-a5b0-4435-b302-ad8093ca4c6f"]}],"mendeley":{"formattedCitation":"[4]","plainTextFormattedCitation":"[4]","previouslyFormattedCitation":"[4]"},"properties":{"noteIndex":0},"schema":"https://github.com/citation-style-language/schema/raw/master/csl-citation.json"}</w:instrText>
      </w:r>
      <w:r w:rsidR="00B238E4">
        <w:fldChar w:fldCharType="separate"/>
      </w:r>
      <w:r w:rsidR="00B238E4" w:rsidRPr="00B238E4">
        <w:rPr>
          <w:noProof/>
        </w:rPr>
        <w:t>[4]</w:t>
      </w:r>
      <w:r w:rsidR="00B238E4">
        <w:fldChar w:fldCharType="end"/>
      </w:r>
      <w:r w:rsidR="00B238E4">
        <w:t>,</w:t>
      </w:r>
      <w:r w:rsidR="00B238E4">
        <w:fldChar w:fldCharType="begin" w:fldLock="1"/>
      </w:r>
      <w:r w:rsidR="00B238E4">
        <w:instrText>ADDIN CSL_CITATION {"citationItems":[{"id":"ITEM-1","itemData":{"DOI":"10.1109/ICoICI62503.2024.10696406","ISBN":"9798331540661","abstract":"Malware detection is a critical challenge in cybersecurity, exacerbated by the continuous evolution of malicious software. Traditional security measures often fail to detect obfuscated malware that uses advanced evasion techniques. This research explores the combination of memory analysis techniques with machine learning (ML) and deep learning (DL) algorithms, enhanced by Explainable AI (XAI), to improve malware detection and classification. Using a curated dataset for memory analysis, algorithms like Random Forest, XGBoost, Logistic Regression, LSTM, GRU, ANN, and hybrid models were used for multiclass classification. Ensemble methods, particularly Random Forest and XGBoost, proved effective, with Random Forest achieving 87.30% accuracy. The integration of GRU and LSTM within hybrid models showed promising results, highlighting the benefits of combining different neural network architectures. Explainable AI techniques such as LIME provided insights into the features and decision criteria influencing classification, enhancing model interpretability and transparency. This research significantly advances malware detection, offering practical implications for real-world cybersecurity.","author":[{"dropping-particle":"","family":"Ravikumar","given":"Ch","non-dropping-particle":"","parse-names":false,"suffix":""},{"dropping-particle":"","family":"Manoranjini","given":"J.","non-dropping-particle":"","parse-names":false,"suffix":""},{"dropping-particle":"","family":"Pallavi","given":"S.","non-dropping-particle":"","parse-names":false,"suffix":""},{"dropping-particle":"","family":"Naresh","given":"Usikela","non-dropping-particle":"","parse-names":false,"suffix":""},{"dropping-particle":"","family":"Telang","given":"Shilpa","non-dropping-particle":"","parse-names":false,"suffix":""},{"dropping-particle":"","family":"Kiran","given":"Saggurthi","non-dropping-particle":"","parse-names":false,"suffix":""}],"container-title":"2nd International Conference on Intelligent Cyber Physical Systems and Internet of Things, ICoICI 2024 - Proceedings","id":"ITEM-1","issue":"ICoICI","issued":{"date-parts":[["2024"]]},"page":"518-523","publisher":"IEEE","title":"Advancing Malware Detection Using Memory Analysis and Explainable AI Approach","type":"article-journal"},"uris":["http://www.mendeley.com/documents/?uuid=8e8bee85-09c1-410f-8417-19a333db20f4"]}],"mendeley":{"formattedCitation":"[5]","plainTextFormattedCitation":"[5]","previouslyFormattedCitation":"[5]"},"properties":{"noteIndex":0},"schema":"https://github.com/citation-style-language/schema/raw/master/csl-citation.json"}</w:instrText>
      </w:r>
      <w:r w:rsidR="00B238E4">
        <w:fldChar w:fldCharType="separate"/>
      </w:r>
      <w:r w:rsidR="00B238E4" w:rsidRPr="00B238E4">
        <w:rPr>
          <w:noProof/>
        </w:rPr>
        <w:t>[5]</w:t>
      </w:r>
      <w:r w:rsidR="00B238E4">
        <w:fldChar w:fldCharType="end"/>
      </w:r>
      <w:r>
        <w:t xml:space="preserve">. In recent years, machine learning and deep learning techniques have gained significant attention for financial forecasting tasks, with models such as Long Short-Term Memory (LSTM) and Gated Recurrent Unit (GRU) demonstrating strong capabilities in learning temporal dependencies </w:t>
      </w:r>
      <w:r w:rsidR="00B238E4">
        <w:fldChar w:fldCharType="begin" w:fldLock="1"/>
      </w:r>
      <w:r w:rsidR="00B238E4">
        <w:instrText>ADDIN CSL_CITATION {"citationItems":[{"id":"ITEM-1","itemData":{"DOI":"10.1109/AIIoT58432.2024.10574794","ISBN":"9798350372120","abstract":"This paper is a comprehensive comparative analysis of two major machine learning models, XGBoost and Long and Short Term Memory (LSTM), for stock price forecasting using historical market data Subtle strengths and weaknesses a within the model remains to be clarified Taking advantage of different approaches ranging from hybrid algorithms to mixed models, we examine their performance on a complete dataset of US-based stock About ETFsThe XGBoost model is optimized using GridSearchCV, performing hyperparameter optimization, while the LSTM model uses a sequential structure with multiple layers and dropout regularization Evaluation metrics such as mean squared error (MSE) and mean absolute error (MAE) are provided quantitative measure of predictive accuracy. The simulation of forecasted and actual prices greatly enhances comparative analysis.Our findings highlight the complementary strengths of XGBoost in tabular data processing and LSTM in time-dependent capture. The analysis provides insight into the definition, computational effort, and overall predictive performance of each model. Exploring a hybrid approach combining the strengths of both models opens avenues for future research.","author":[{"dropping-particle":"","family":"Hossain","given":"Saddam","non-dropping-particle":"","parse-names":false,"suffix":""},{"dropping-particle":"","family":"Kaur","given":"Gagninder","non-dropping-particle":"","parse-names":false,"suffix":""}],"container-title":"2024 3rd International Conference on Artificial Intelligence for Internet of Things, AIIoT 2024","id":"ITEM-1","issue":"AIIoT","issued":{"date-parts":[["2024"]]},"page":"1-6","publisher":"IEEE","title":"Stock Market Prediction: XGBoost and LSTM Comparative Analysis","type":"article-journal"},"uris":["http://www.mendeley.com/documents/?uuid=42f1bc8f-4c98-4477-80e8-427e8a53e28e"]}],"mendeley":{"formattedCitation":"[6]","plainTextFormattedCitation":"[6]","previouslyFormattedCitation":"[6]"},"properties":{"noteIndex":0},"schema":"https://github.com/citation-style-language/schema/raw/master/csl-citation.json"}</w:instrText>
      </w:r>
      <w:r w:rsidR="00B238E4">
        <w:fldChar w:fldCharType="separate"/>
      </w:r>
      <w:r w:rsidR="00B238E4" w:rsidRPr="00B238E4">
        <w:rPr>
          <w:noProof/>
        </w:rPr>
        <w:t>[6]</w:t>
      </w:r>
      <w:r w:rsidR="00B238E4">
        <w:fldChar w:fldCharType="end"/>
      </w:r>
      <w:r>
        <w:t xml:space="preserve">, </w:t>
      </w:r>
      <w:r w:rsidR="00B238E4">
        <w:fldChar w:fldCharType="begin" w:fldLock="1"/>
      </w:r>
      <w:r w:rsidR="00B238E4">
        <w:instrText>ADDIN CSL_CITATION {"citationItems":[{"id":"ITEM-1","itemData":{"DOI":"10.1109/ICoICI62503.2024.10696406","ISBN":"9798331540661","abstract":"Malware detection is a critical challenge in cybersecurity, exacerbated by the continuous evolution of malicious software. Traditional security measures often fail to detect obfuscated malware that uses advanced evasion techniques. This research explores the combination of memory analysis techniques with machine learning (ML) and deep learning (DL) algorithms, enhanced by Explainable AI (XAI), to improve malware detection and classification. Using a curated dataset for memory analysis, algorithms like Random Forest, XGBoost, Logistic Regression, LSTM, GRU, ANN, and hybrid models were used for multiclass classification. Ensemble methods, particularly Random Forest and XGBoost, proved effective, with Random Forest achieving 87.30% accuracy. The integration of GRU and LSTM within hybrid models showed promising results, highlighting the benefits of combining different neural network architectures. Explainable AI techniques such as LIME provided insights into the features and decision criteria influencing classification, enhancing model interpretability and transparency. This research significantly advances malware detection, offering practical implications for real-world cybersecurity.","author":[{"dropping-particle":"","family":"Ravikumar","given":"Ch","non-dropping-particle":"","parse-names":false,"suffix":""},{"dropping-particle":"","family":"Manoranjini","given":"J.","non-dropping-particle":"","parse-names":false,"suffix":""},{"dropping-particle":"","family":"Pallavi","given":"S.","non-dropping-particle":"","parse-names":false,"suffix":""},{"dropping-particle":"","family":"Naresh","given":"Usikela","non-dropping-particle":"","parse-names":false,"suffix":""},{"dropping-particle":"","family":"Telang","given":"Shilpa","non-dropping-particle":"","parse-names":false,"suffix":""},{"dropping-particle":"","family":"Kiran","given":"Saggurthi","non-dropping-particle":"","parse-names":false,"suffix":""}],"container-title":"2nd International Conference on Intelligent Cyber Physical Systems and Internet of Things, ICoICI 2024 - Proceedings","id":"ITEM-1","issue":"ICoICI","issued":{"date-parts":[["2024"]]},"page":"518-523","publisher":"IEEE","title":"Advancing Malware Detection Using Memory Analysis and Explainable AI Approach","type":"article-journal"},"uris":["http://www.mendeley.com/documents/?uuid=8e8bee85-09c1-410f-8417-19a333db20f4"]}],"mendeley":{"formattedCitation":"[5]","plainTextFormattedCitation":"[5]","previouslyFormattedCitation":"[5]"},"properties":{"noteIndex":0},"schema":"https://github.com/citation-style-language/schema/raw/master/csl-citation.json"}</w:instrText>
      </w:r>
      <w:r w:rsidR="00B238E4">
        <w:fldChar w:fldCharType="separate"/>
      </w:r>
      <w:r w:rsidR="00B238E4" w:rsidRPr="00B238E4">
        <w:rPr>
          <w:noProof/>
        </w:rPr>
        <w:t>[5]</w:t>
      </w:r>
      <w:r w:rsidR="00B238E4">
        <w:fldChar w:fldCharType="end"/>
      </w:r>
      <w:r>
        <w:t xml:space="preserve">. Despite these strengths, deep learning models often behave as black boxes, making it difficult to interpret their internal mechanisms and limiting their practical use in decision-critical domains such as finance </w:t>
      </w:r>
      <w:r w:rsidR="00B238E4">
        <w:fldChar w:fldCharType="begin" w:fldLock="1"/>
      </w:r>
      <w:r w:rsidR="00B238E4">
        <w:instrText>ADDIN CSL_CITATION {"citationItems":[{"id":"ITEM-1","itemData":{"DOI":"10.1109/ACCESS.2020.2987547","author":[{"dropping-particle":"","family":"Yu","given":"H E","non-dropping-particle":"","parse-names":false,"suffix":""},{"dropping-particle":"","family":"Ming","given":"L I Jing","non-dropping-particle":"","parse-names":false,"suffix":""},{"dropping-particle":"","family":"Sumei","given":"Ruan","non-dropping-particle":"","parse-names":false,"suffix":""},{"dropping-particle":"","family":"Shuping","given":"Zhao","non-dropping-particle":"","parse-names":false,"suffix":""}],"id":"ITEM-1","issued":{"date-parts":[["2020"]]},"page":"84501-84518","title":"A Hybrid Model for Financial Time Series Forecasting — Integration of EWT , ARIMA With The Improved ABC Optimized ELM","type":"article-journal"},"uris":["http://www.mendeley.com/documents/?uuid=a2baab6b-a861-4185-bae3-4e69b4c08611"]}],"mendeley":{"formattedCitation":"[7]","plainTextFormattedCitation":"[7]","previouslyFormattedCitation":"[7]"},"properties":{"noteIndex":0},"schema":"https://github.com/citation-style-language/schema/raw/master/csl-citation.json"}</w:instrText>
      </w:r>
      <w:r w:rsidR="00B238E4">
        <w:fldChar w:fldCharType="separate"/>
      </w:r>
      <w:r w:rsidR="00B238E4" w:rsidRPr="00B238E4">
        <w:rPr>
          <w:noProof/>
        </w:rPr>
        <w:t>[7]</w:t>
      </w:r>
      <w:r w:rsidR="00B238E4">
        <w:fldChar w:fldCharType="end"/>
      </w:r>
      <w:r w:rsidR="00B238E4">
        <w:t>,</w:t>
      </w:r>
      <w:r w:rsidR="00B238E4">
        <w:fldChar w:fldCharType="begin" w:fldLock="1"/>
      </w:r>
      <w:r w:rsidR="007B4C16">
        <w:instrText>ADDIN CSL_CITATION {"citationItems":[{"id":"ITEM-1","itemData":{"DOI":"10.1016/j.eswa.2025.128844","ISSN":"09574174","abstract":"Time series forecasting, particularly in the domain of stock prices, is a significant challenge but benefits from the availability of openly accessible data. Our work focuses mainly on (although not limited to) univariate time series forecasting of monthly or daily stock prices, predicting one step ahead. We developed an innovative pipeline that combines fuzzification with Automated Machine Learning, achieving improved forecasting performance. Unlike previous literature, we revise the binomial Fuzzy Time Series and machine learning algorithm, including a classification task (formally motivating it), and involving unused features of fuzzy sets. Thanks to the type of aggregation of the fuzzified data, the approach has the potential to preserve interpretability, unlike most machine learning based approaches. Using several financial datasets, in addition to preliminary experiments on chaotic time series, we found evidence of significantly improved performance in most cases. This study contributes to further understanding of the intersection between fuzzy logic and Automated Machine Learning, particularly in the context of time series forecasting, offering a promising direction for future research.","author":[{"dropping-particle":"","family":"Timko","given":"Jan","non-dropping-particle":"","parse-names":false,"suffix":""},{"dropping-particle":"","family":"Shawi","given":"Radwa","non-dropping-particle":"El","parse-names":false,"suffix":""},{"dropping-particle":"","family":"Tomasiello","given":"Stefania","non-dropping-particle":"","parse-names":false,"suffix":""}],"container-title":"Expert Systems with Applications","id":"ITEM-1","issue":"December 2024","issued":{"date-parts":[["2024"]]},"publisher":"Elsevier Ltd","title":"Optimizing stock price forecasting: a hybrid approach using fuzziness and automated machine learning","type":"article-journal","volume":"295"},"uris":["http://www.mendeley.com/documents/?uuid=dc8fcc6c-bc1a-4833-85b3-8f898c562e21"]}],"mendeley":{"formattedCitation":"[8]","plainTextFormattedCitation":"[8]","previouslyFormattedCitation":"[8]"},"properties":{"noteIndex":0},"schema":"https://github.com/citation-style-language/schema/raw/master/csl-citation.json"}</w:instrText>
      </w:r>
      <w:r w:rsidR="00B238E4">
        <w:fldChar w:fldCharType="separate"/>
      </w:r>
      <w:r w:rsidR="0018481A" w:rsidRPr="0018481A">
        <w:rPr>
          <w:noProof/>
        </w:rPr>
        <w:t>[8]</w:t>
      </w:r>
      <w:r w:rsidR="00B238E4">
        <w:fldChar w:fldCharType="end"/>
      </w:r>
      <w:bookmarkStart w:id="5" w:name="_GoBack"/>
      <w:bookmarkEnd w:id="5"/>
      <w:r>
        <w:t>.</w:t>
      </w:r>
    </w:p>
    <w:p w14:paraId="1CEC95E3" w14:textId="77777777" w:rsidR="003A74D8" w:rsidRDefault="003A74D8" w:rsidP="003A74D8">
      <w:pPr>
        <w:pStyle w:val="Body"/>
        <w:ind w:firstLine="360"/>
      </w:pPr>
    </w:p>
    <w:p w14:paraId="3B3EDD10" w14:textId="47ED5F71" w:rsidR="003A74D8" w:rsidRDefault="003A74D8" w:rsidP="003A74D8">
      <w:pPr>
        <w:pStyle w:val="Body"/>
        <w:ind w:firstLine="360"/>
      </w:pPr>
      <w:r>
        <w:t xml:space="preserve">Tree-based ensemble methods, particularly Extreme Gradient Boosting (XGBoost), have shown strong predictive performance on structured financial </w:t>
      </w:r>
      <w:r>
        <w:lastRenderedPageBreak/>
        <w:t xml:space="preserve">datasets due to their ability to model nonlinear relationships and handle complex feature interactions efficiently </w:t>
      </w:r>
      <w:r w:rsidR="007B4C16">
        <w:fldChar w:fldCharType="begin" w:fldLock="1"/>
      </w:r>
      <w:r w:rsidR="007B4C16">
        <w:instrText>ADDIN CSL_CITATION {"citationItems":[{"id":"ITEM-1","itemData":{"DOI":"10.1016/j.eswa.2025.127802","ISSN":"09574174","abstract":"Accurate stock price prediction is a urgently needed technology in economic investment. However, stock prices are influenced by various factors and display non-linear and non-stationary characteristics, which make accurately predicting stock prices a critical challenge. To tackle the above issue, we propose a method for stock price prediction based on improved ensemble empirical mode decomposition (EEMD) and attention-enhanced BiLSTM (AEBiLSTM), referred to as SPPEA. First, to reduce the nonlinearity of the stock prices and improve the prediction accuracy, our method first divides the original stock price series into subsequences with the same time scale using a sliding window. These sub-sequences are then decomposed into multiple intrinsic mode Function (IMF) components with the EEMD method which is improved by cubic spline interpolation. Then, the decomposed IMF components are input into AEBiLSTM to capture the dependencies of stock price data and the features of important points of the stock prices, and then the prediction results of each IMF component are obtained with AEBiLSTM. Finally, the prediction results of each component are integrated to obtain the final prediction results. Extensive experiments have been conducted on three stock datasets: BYD, China Unicom and Ping An Bank. Experimental results prove that our proposed method has better performance compared with the state-of-the-art methods.","author":[{"dropping-particle":"","family":"Liu","given":"Zhinzhong","non-dropping-particle":"","parse-names":false,"suffix":""},{"dropping-particle":"","family":"Su","given":"Zhaohui","non-dropping-particle":"","parse-names":false,"suffix":""},{"dropping-particle":"","family":"Shang","given":"Ling","non-dropping-particle":"","parse-names":false,"suffix":""},{"dropping-particle":"","family":"Sun","given":"Hongxiang","non-dropping-particle":"","parse-names":false,"suffix":""},{"dropping-particle":"","family":"Zhao","given":"Bin","non-dropping-particle":"","parse-names":false,"suffix":""}],"container-title":"Expert Systems with Applications","id":"ITEM-1","issued":{"date-parts":[["2025"]]},"page":"127802","publisher":"Elsevier Ltd.","title":"An approach to stock price prediction based on improved EEMD and attention-enhanced BiLSTM","type":"article-journal","volume":"284"},"uris":["http://www.mendeley.com/documents/?uuid=53a6a81d-e68d-4ef4-ac9c-dd59e3f763bd"]}],"mendeley":{"formattedCitation":"[9]","plainTextFormattedCitation":"[9]","previouslyFormattedCitation":"[9]"},"properties":{"noteIndex":0},"schema":"https://github.com/citation-style-language/schema/raw/master/csl-citation.json"}</w:instrText>
      </w:r>
      <w:r w:rsidR="007B4C16">
        <w:fldChar w:fldCharType="separate"/>
      </w:r>
      <w:r w:rsidR="007B4C16" w:rsidRPr="007B4C16">
        <w:rPr>
          <w:noProof/>
        </w:rPr>
        <w:t>[9]</w:t>
      </w:r>
      <w:r w:rsidR="007B4C16">
        <w:fldChar w:fldCharType="end"/>
      </w:r>
      <w:r w:rsidR="007B4C16">
        <w:t>,</w:t>
      </w:r>
      <w:r w:rsidR="007B4C16">
        <w:fldChar w:fldCharType="begin" w:fldLock="1"/>
      </w:r>
      <w:r w:rsidR="007B4C16">
        <w:instrText>ADDIN CSL_CITATION {"citationItems":[{"id":"ITEM-1","itemData":{"DOI":"10.1109/ICCUBEA61740.2024.10775112","ISBN":"9798350391770","abstract":"The inconsistency of the stock market is ungovernable, making it prone to imminent financial risks. Our research indicates that the system displays remarkable precision in producing prognostics based on historical data derived from Yahoo Finance in the form of graphs and values. Resorting to our model, financial analysts and investors can alleviate risk and capitalize on market opportunities, facilitating informed decision-making. Our study's primary focus is evaluating the following four models for predicting stock market prices: Long Short-Term Memory, Auto-Regressive Integrated Moving Average, Seasonal Auto-Regressive Integrated Moving Average using eXogenous factors, and Auto-Regressive Moving Average. ARIMA utilizes differencing to stabilize non-stationary time series, while ARMA amalgamates autoregressive and moving average components to record linear dependencies. SARIMAX strengthens ARIMA by integrating seasonal fluctuations, suitable for modeling seasonal trends in financial data. Deep learning techniques like LSTM excel at recognising complex temporal correlations. These findings showcase the importance of utilizing advanced forecasting techniques to navigate the ever-changing financial landscape, offering valuable insights for professional and academic purposes.","author":[{"dropping-particle":"","family":"Notaria","given":"Harsh","non-dropping-particle":"","parse-names":false,"suffix":""},{"dropping-particle":"","family":"Shah","given":"Shriya","non-dropping-particle":"","parse-names":false,"suffix":""},{"dropping-particle":"","family":"Thopte","given":"Devarshee","non-dropping-particle":"","parse-names":false,"suffix":""},{"dropping-particle":"","family":"Soneji","given":"Hemang","non-dropping-particle":"","parse-names":false,"suffix":""},{"dropping-particle":"","family":"Bari","given":"Pranit","non-dropping-particle":"","parse-names":false,"suffix":""},{"dropping-particle":"","family":"Deulkar","given":"Khushali","non-dropping-particle":"","parse-names":false,"suffix":""}],"container-title":"2024 8th International Conference on Computing, Communication, Control and Automation, ICCUBEA 2024","id":"ITEM-1","issued":{"date-parts":[["2024"]]},"page":"1-6","publisher":"IEEE","title":"Comparative Analysis of Stock Price Prediction using Time Series Models","type":"article-journal"},"uris":["http://www.mendeley.com/documents/?uuid=6b43d548-f121-42a7-bab3-223655144872"]}],"mendeley":{"formattedCitation":"[10]","plainTextFormattedCitation":"[10]","previouslyFormattedCitation":"[10]"},"properties":{"noteIndex":0},"schema":"https://github.com/citation-style-language/schema/raw/master/csl-citation.json"}</w:instrText>
      </w:r>
      <w:r w:rsidR="007B4C16">
        <w:fldChar w:fldCharType="separate"/>
      </w:r>
      <w:r w:rsidR="007B4C16" w:rsidRPr="007B4C16">
        <w:rPr>
          <w:noProof/>
        </w:rPr>
        <w:t>[10]</w:t>
      </w:r>
      <w:r w:rsidR="007B4C16">
        <w:fldChar w:fldCharType="end"/>
      </w:r>
      <w:r>
        <w:t xml:space="preserve">. Another advantage of XGBoost is its compatibility with Explainable Artificial Intelligence (XAI) tools such as SHapley Additive exPlanations (SHAP), enabling transparent interpretation of model predictions </w:t>
      </w:r>
      <w:r w:rsidR="007B4C16">
        <w:fldChar w:fldCharType="begin" w:fldLock="1"/>
      </w:r>
      <w:r w:rsidR="007B4C16">
        <w:instrText>ADDIN CSL_CITATION {"citationItems":[{"id":"ITEM-1","itemData":{"DOI":"10.1109/ICMSE.2012.6414425","ISBN":"9781467330145","author":[{"dropping-particle":"","family":"Xiao","given":"Zhong-yi","non-dropping-particle":"","parse-names":false,"suffix":""},{"dropping-particle":"","family":"Li","given":"Si-ming","non-dropping-particle":"","parse-names":false,"suffix":""},{"dropping-particle":"","family":"Lin","given":"Zhang-xi","non-dropping-particle":"","parse-names":false,"suffix":""}],"container-title":"2012 International Conference on Management Science &amp; Engineering 19th Annual Conference Proceedings","id":"ITEM-1","issued":{"date-parts":[["2012"]]},"page":"1861-1867","publisher":"IEEE","title":"A Hybrid Modeling Approach for Forecasting the Volatility of REITs Index in US Market","type":"article-journal"},"uris":["http://www.mendeley.com/documents/?uuid=21aaeb13-7160-4c08-9f34-c0ee4e33ec02"]}],"mendeley":{"formattedCitation":"[11]","plainTextFormattedCitation":"[11]","previouslyFormattedCitation":"[11]"},"properties":{"noteIndex":0},"schema":"https://github.com/citation-style-language/schema/raw/master/csl-citation.json"}</w:instrText>
      </w:r>
      <w:r w:rsidR="007B4C16">
        <w:fldChar w:fldCharType="separate"/>
      </w:r>
      <w:r w:rsidR="007B4C16" w:rsidRPr="007B4C16">
        <w:rPr>
          <w:noProof/>
        </w:rPr>
        <w:t>[11]</w:t>
      </w:r>
      <w:r w:rsidR="007B4C16">
        <w:fldChar w:fldCharType="end"/>
      </w:r>
      <w:r w:rsidR="007B4C16">
        <w:t>,</w:t>
      </w:r>
      <w:r w:rsidR="007B4C16">
        <w:fldChar w:fldCharType="begin" w:fldLock="1"/>
      </w:r>
      <w:r w:rsidR="007B4C16">
        <w:instrText>ADDIN CSL_CITATION {"citationItems":[{"id":"ITEM-1","itemData":{"DOI":"10.1109/DASA53625.2021.9682235","ISBN":"9781665416344","author":[{"dropping-particle":"","family":"Hossain","given":"Mohammad Raquibul","non-dropping-particle":"","parse-names":false,"suffix":""},{"dropping-particle":"","family":"Ismail","given":"Mohd Tahir","non-dropping-particle":"","parse-names":false,"suffix":""},{"dropping-particle":"","family":"Hossain","given":"Jamal","non-dropping-particle":"","parse-names":false,"suffix":""}],"container-title":"2021 International Conference on Decision Aid Sciences and Application (DASA)","id":"ITEM-1","issued":{"date-parts":[["2021"]]},"page":"1115-1119","publisher":"IEEE","title":"Stock Price Prediction Using Empirical Mode Decomposition Based Theta Method and Forecast Combination","type":"article-journal"},"uris":["http://www.mendeley.com/documents/?uuid=c81b59b0-7a54-4f2a-b1b0-5cf9f7d5222f"]}],"mendeley":{"formattedCitation":"[12]","plainTextFormattedCitation":"[12]","previouslyFormattedCitation":"[12]"},"properties":{"noteIndex":0},"schema":"https://github.com/citation-style-language/schema/raw/master/csl-citation.json"}</w:instrText>
      </w:r>
      <w:r w:rsidR="007B4C16">
        <w:fldChar w:fldCharType="separate"/>
      </w:r>
      <w:r w:rsidR="007B4C16" w:rsidRPr="007B4C16">
        <w:rPr>
          <w:noProof/>
        </w:rPr>
        <w:t>[12]</w:t>
      </w:r>
      <w:r w:rsidR="007B4C16">
        <w:fldChar w:fldCharType="end"/>
      </w:r>
      <w:r w:rsidR="007B4C16">
        <w:t>,</w:t>
      </w:r>
      <w:r w:rsidR="007B4C16">
        <w:fldChar w:fldCharType="begin" w:fldLock="1"/>
      </w:r>
      <w:r w:rsidR="007B4C16">
        <w:instrText>ADDIN CSL_CITATION {"citationItems":[{"id":"ITEM-1","itemData":{"DOI":"10.1109/TAI.2024.3455313","ISSN":"26914581","abstract":"Forecasting errors in power markets, even as small as 1%, can have significant financial implications. However, even high-performance artificial intelligence (AI) based electricity price forecasting (EPF) models have instances when their prediction error is much higher than those shown by mean performance metrics. To date, explainable AI has been used to enhance the model transparency and trustworthiness of AI-based EPF models. However, this article demonstrates that insights from explainable AI (XAI) techniques can be expanded beyond its primary task of explanatory visualizations. This work presents a XAI-based error compensation approach to improve model performance and identify irregular predictions. The first phase of the proposed approach involves error quantification through a Shapley additive explanations (SHAP) based corrector model that fine-tunes the base predictor's forecasts. Using this corrector model's SHAP explanations, the proposed approach distinguishes high-accuracy predictions from lower ones in the second stage. Additionally, these explanations are more simplified than the base model, making them easier for nonexpert users such as bidding agents. Performance enhancement and insightful user-centric explanations are crucial for real-world scenarios such as price spikes during network congestion, high renewable penetration, and fluctuating fuel costs. Case studies discussed here show the efficacy of the proposed approach independent of model architecture, feature combination, or behavioral patterns of electricity prices in different markets.","author":[{"dropping-particle":"","family":"Heistrene","given":"Leena","non-dropping-particle":"","parse-names":false,"suffix":""},{"dropping-particle":"","family":"Belikov","given":"Juri","non-dropping-particle":"","parse-names":false,"suffix":""},{"dropping-particle":"","family":"Baimel","given":"Dmitry","non-dropping-particle":"","parse-names":false,"suffix":""},{"dropping-particle":"","family":"Katzir","given":"Liran","non-dropping-particle":"","parse-names":false,"suffix":""},{"dropping-particle":"","family":"Machlev","given":"Ram","non-dropping-particle":"","parse-names":false,"suffix":""},{"dropping-particle":"","family":"Levy","given":"Kfir","non-dropping-particle":"","parse-names":false,"suffix":""},{"dropping-particle":"","family":"Mannor","given":"Shie","non-dropping-particle":"","parse-names":false,"suffix":""},{"dropping-particle":"","family":"Levron","given":"Yoash","non-dropping-particle":"","parse-names":false,"suffix":""}],"container-title":"IEEE Transactions on Artificial Intelligence","id":"ITEM-1","issue":"1","issued":{"date-parts":[["2025"]]},"page":"159-168","publisher":"IEEE","title":"An Improved and Explainable Electricity Price Forecasting Model via SHAP-Based Error Compensation Approach","type":"article-journal","volume":"6"},"uris":["http://www.mendeley.com/documents/?uuid=4ee12d2d-13af-4e39-a609-da164d6fcfdf"]}],"mendeley":{"formattedCitation":"[13]","plainTextFormattedCitation":"[13]","previouslyFormattedCitation":"[13]"},"properties":{"noteIndex":0},"schema":"https://github.com/citation-style-language/schema/raw/master/csl-citation.json"}</w:instrText>
      </w:r>
      <w:r w:rsidR="007B4C16">
        <w:fldChar w:fldCharType="separate"/>
      </w:r>
      <w:r w:rsidR="007B4C16" w:rsidRPr="007B4C16">
        <w:rPr>
          <w:noProof/>
        </w:rPr>
        <w:t>[13]</w:t>
      </w:r>
      <w:r w:rsidR="007B4C16">
        <w:fldChar w:fldCharType="end"/>
      </w:r>
      <w:r>
        <w:t xml:space="preserve">. Prior studies have explored hybrid approaches combining sequence-based models with gradient boosting techniques, reporting improved accuracy compared to single-model approaches </w:t>
      </w:r>
      <w:r w:rsidR="007B4C16">
        <w:fldChar w:fldCharType="begin" w:fldLock="1"/>
      </w:r>
      <w:r w:rsidR="007B4C16">
        <w:instrText>ADDIN CSL_CITATION {"citationItems":[{"id":"ITEM-1","itemData":{"DOI":"10.1109/ICCOINS49721.2021.9497182","ISBN":"9781728171517","abstract":"Financial statements as a tool for show the company financial performance and can be used as a basis for making economic decisions. Understanding of accounting standards specifically for SMEs can help SMEs in making business decisions. Information technology support and investment opportunity in SMEs are important factors that can help improve the financial performance of SMEs. Investment opportunity can be seen from the development of market tastes and reflection on the development of SMEs businesses. Investment opportunity is also obtained by innovating in production and marketing. The development of the SMEs business is in line with increasing business age. This shows the ability to survive batik business in facing the times and business competition. This study examines the factors that influence the financial performance of SMEs. using a sample of batik craftsmen. Data analysis was performed using multiple regression program which are currently widely used by researchers to test the research model that they formulate. The result of this research were (1) for small and medium-sized enterprises (SMEs), the company's age and investments opportunity greatly affect the company's financial performance. (2) IT support and good financial management in small and medium enterprises (SMEs) do not affect the company's financial performance.","author":[{"dropping-particle":"","family":"Hastuti","given":"Theresia Dwi","non-dropping-particle":"","parse-names":false,"suffix":""},{"dropping-particle":"","family":"Sanjaya","given":"Ridwan","non-dropping-particle":"","parse-names":false,"suffix":""},{"dropping-particle":"","family":"Koeswoyo","given":"Freddy","non-dropping-particle":"","parse-names":false,"suffix":""}],"container-title":"Proceedings - International Conference on Computer and Information Sciences: Sustaining Tomorrow with Digital Innovation, ICCOINS 2021","id":"ITEM-1","issue":"July 2021","issued":{"date-parts":[["2021"]]},"page":"247-251","publisher":"IEEE","title":"The Investment Opportunity, Information Technology and Financial Performance of SMEs","type":"article-journal"},"uris":["http://www.mendeley.com/documents/?uuid=c08a812d-a467-47c0-bcc0-122302a1d05b"]}],"mendeley":{"formattedCitation":"[14]","plainTextFormattedCitation":"[14]","previouslyFormattedCitation":"[14]"},"properties":{"noteIndex":0},"schema":"https://github.com/citation-style-language/schema/raw/master/csl-citation.json"}</w:instrText>
      </w:r>
      <w:r w:rsidR="007B4C16">
        <w:fldChar w:fldCharType="separate"/>
      </w:r>
      <w:r w:rsidR="007B4C16" w:rsidRPr="007B4C16">
        <w:rPr>
          <w:noProof/>
        </w:rPr>
        <w:t>[14]</w:t>
      </w:r>
      <w:r w:rsidR="007B4C16">
        <w:fldChar w:fldCharType="end"/>
      </w:r>
      <w:r>
        <w:t>,</w:t>
      </w:r>
      <w:r w:rsidR="007B4C16">
        <w:fldChar w:fldCharType="begin" w:fldLock="1"/>
      </w:r>
      <w:r w:rsidR="007B4C16">
        <w:instrText>ADDIN CSL_CITATION {"citationItems":[{"id":"ITEM-1","itemData":{"DOI":"10.1109/ACCESS.2024.3401007","ISSN":"21693536","abstract":"In the rapidly evolving sector of financial analytics, predicting a firm's going concern status accurately is vital for informed user decisions. This study introduces a novel method that synergizes Anchor Explainable Artificial Intelligence (XAI) with an Attention-Weighted Extreme Gradient Boosting (XGBoost) model, significantly improving the precision and clarity of going concern predictions. Traditional models often trade off explainability against complexity, diminishing user confidence. Our solution, integrating Anchor XAI, offers lucid, comprehensible explanations for the model's predictions, enhancing trust and interpretability. The developed Attention-Weighted XGBoost algorithm, targeting essential financial indicators, markedly surpasses traditional approaches in prediction by its 98% accuracy, as evidenced by improved precision and recall. This integration not only makes the prediction process more transparent but also advances the field towards more interpretable AI solutions. Additionally, our approach highlights important features specific to each class, distinguishing our findings with significant indicators like working capital/total assets, and total equity for potential non-going concerns, debt ratio, current assets to total liabilities ratio, and long-term funds to fixed assets ratio for going concerns, alongside governance factors such as the number of independent directors and BIG4 audit status for entities with going concern doubt. These advancements demonstrate the effectiveness of melding explainable AI with attention mechanisms to bolster the trustworthiness and clarity of financial forecasts, opening new research paths in financial analytics.","author":[{"dropping-particle":"","family":"Thanathamathee","given":"Putthiporn","non-dropping-particle":"","parse-names":false,"suffix":""},{"dropping-particle":"","family":"Sawangarreerak","given":"Siriporn","non-dropping-particle":"","parse-names":false,"suffix":""},{"dropping-particle":"","family":"Nizam","given":"Dinna Nina Mohd","non-dropping-particle":"","parse-names":false,"suffix":""}],"container-title":"IEEE Access","id":"ITEM-1","issue":"March","issued":{"date-parts":[["2024"]]},"page":"68345-68363","publisher":"IEEE","title":"Enhancing Going Concern Prediction With Anchor Explainable AI and Attention-Weighted XGBoost","type":"article-journal","volume":"12"},"uris":["http://www.mendeley.com/documents/?uuid=fe56856c-ae8a-4891-bb24-e992fd6a30fc"]}],"mendeley":{"formattedCitation":"[15]","plainTextFormattedCitation":"[15]","previouslyFormattedCitation":"[15]"},"properties":{"noteIndex":0},"schema":"https://github.com/citation-style-language/schema/raw/master/csl-citation.json"}</w:instrText>
      </w:r>
      <w:r w:rsidR="007B4C16">
        <w:fldChar w:fldCharType="separate"/>
      </w:r>
      <w:r w:rsidR="007B4C16" w:rsidRPr="007B4C16">
        <w:rPr>
          <w:noProof/>
        </w:rPr>
        <w:t>[15]</w:t>
      </w:r>
      <w:r w:rsidR="007B4C16">
        <w:fldChar w:fldCharType="end"/>
      </w:r>
      <w:r w:rsidR="007B4C16">
        <w:t>,</w:t>
      </w:r>
      <w:r w:rsidR="007B4C16">
        <w:fldChar w:fldCharType="begin" w:fldLock="1"/>
      </w:r>
      <w:r w:rsidR="007B4C16">
        <w:instrText>ADDIN CSL_CITATION {"citationItems":[{"id":"ITEM-1","itemData":{"DOI":"10.1109/WCONF64849.2025.11233358","ISBN":"9798331530457","author":[{"dropping-particle":"","family":"Aravindhan","given":"M","non-dropping-particle":"","parse-names":false,"suffix":""},{"dropping-particle":"","family":"Manikavelan","given":"D","non-dropping-particle":"","parse-names":false,"suffix":""}],"container-title":"2025 3rd World Conference on Communication &amp;amp; Computing (WCONF)","id":"ITEM-1","issued":{"date-parts":[["2025"]]},"page":"1-6","publisher":"IEEE","title":"Decomposition-Based Transformer-LSTM Framework for Stock Index Forecasting","type":"article-journal"},"uris":["http://www.mendeley.com/documents/?uuid=80423dc1-ad4a-4add-91b2-0904cadd3eaf"]}],"mendeley":{"formattedCitation":"[16]","plainTextFormattedCitation":"[16]","previouslyFormattedCitation":"[16]"},"properties":{"noteIndex":0},"schema":"https://github.com/citation-style-language/schema/raw/master/csl-citation.json"}</w:instrText>
      </w:r>
      <w:r w:rsidR="007B4C16">
        <w:fldChar w:fldCharType="separate"/>
      </w:r>
      <w:r w:rsidR="007B4C16" w:rsidRPr="007B4C16">
        <w:rPr>
          <w:noProof/>
        </w:rPr>
        <w:t>[16]</w:t>
      </w:r>
      <w:r w:rsidR="007B4C16">
        <w:fldChar w:fldCharType="end"/>
      </w:r>
      <w:r>
        <w:t>. However, research focusing on hybrid GRU</w:t>
      </w:r>
      <w:r w:rsidR="00B401AF">
        <w:t>-</w:t>
      </w:r>
      <w:r>
        <w:t>XGBoost architectures for Indonesian stock data, especially BBCA, remains limited.</w:t>
      </w:r>
    </w:p>
    <w:p w14:paraId="02468F16" w14:textId="77777777" w:rsidR="003A74D8" w:rsidRDefault="003A74D8" w:rsidP="003A74D8">
      <w:pPr>
        <w:pStyle w:val="Body"/>
        <w:ind w:firstLine="360"/>
      </w:pPr>
      <w:r>
        <w:t>To address this gap, this study proposes a hybrid deep learning and tree boosting framework for predicting BBCA stock prices. The GRU model is utilized to extract sequential temporal information, while XGBoost serves as a meta-regressor to enhance predictive performance. Furthermore, SHAP-based XAI is integrated to provide interpretability by identifying the most influential technical indicators contributing to the model’s predictions. This approach aims to combine predictive accuracy with interpretability, ensuring applicability in real-world financial decision support systems.</w:t>
      </w:r>
    </w:p>
    <w:p w14:paraId="2419CE79" w14:textId="31609400" w:rsidR="002418CE" w:rsidRPr="00AB4B62" w:rsidRDefault="003A74D8" w:rsidP="003A74D8">
      <w:pPr>
        <w:pStyle w:val="Body"/>
        <w:ind w:firstLine="360"/>
        <w:rPr>
          <w:b/>
          <w:lang w:eastAsia="id-ID"/>
        </w:rPr>
      </w:pPr>
      <w:r>
        <w:t>The objectives of this study are threefold: (1) to build GRU, XGBoost, and hybrid GRU</w:t>
      </w:r>
      <w:r w:rsidR="00B401AF">
        <w:t>-</w:t>
      </w:r>
      <w:r>
        <w:t>XGBoost models for stock price prediction; (2) to compare their predictive performance based on MAE, RMSE, and R² metrics; and (3) to analyze feature importance using SHAP to provide model transparency. The findings of this study are expected to contribute to the development of interpretable machine learning solutions for the Indonesian stock market, particularly in modeling the price movement of BBCA stock.</w:t>
      </w:r>
      <w:r w:rsidR="001B0B47">
        <w:t>.</w:t>
      </w:r>
    </w:p>
    <w:bookmarkEnd w:id="4"/>
    <w:p w14:paraId="0D12B6D3" w14:textId="66A3E682" w:rsidR="001448CC" w:rsidRPr="00AA68F8" w:rsidRDefault="001B0B47" w:rsidP="008B3AF1">
      <w:pPr>
        <w:pStyle w:val="Heading1"/>
        <w:tabs>
          <w:tab w:val="clear" w:pos="360"/>
        </w:tabs>
        <w:spacing w:before="120"/>
        <w:ind w:left="432" w:hanging="432"/>
      </w:pPr>
      <w:r>
        <w:rPr>
          <w:lang w:val="en-US"/>
        </w:rPr>
        <w:t>RESEARCH METHOD</w:t>
      </w:r>
    </w:p>
    <w:p w14:paraId="1CDFB11F" w14:textId="358EC286" w:rsidR="00D1619B" w:rsidRPr="00D1619B" w:rsidRDefault="00D1619B" w:rsidP="00D1619B">
      <w:pPr>
        <w:pStyle w:val="TeksNormal"/>
        <w:numPr>
          <w:ilvl w:val="0"/>
          <w:numId w:val="12"/>
        </w:numPr>
        <w:rPr>
          <w:b/>
          <w:bCs/>
          <w:color w:val="000000"/>
          <w:lang w:val="en-US"/>
        </w:rPr>
      </w:pPr>
      <w:bookmarkStart w:id="6" w:name="_Hlk67818308"/>
      <w:r w:rsidRPr="00D1619B">
        <w:rPr>
          <w:b/>
          <w:bCs/>
          <w:color w:val="000000"/>
          <w:lang w:val="en-US"/>
        </w:rPr>
        <w:t xml:space="preserve">2. RESEARCH METHOD </w:t>
      </w:r>
    </w:p>
    <w:p w14:paraId="4C9AB77F" w14:textId="77777777" w:rsidR="00D1619B" w:rsidRPr="00D1619B" w:rsidRDefault="00D1619B" w:rsidP="00D1619B">
      <w:pPr>
        <w:pStyle w:val="TeksNormal"/>
        <w:ind w:firstLine="360"/>
        <w:rPr>
          <w:color w:val="000000"/>
          <w:lang w:val="en-US"/>
        </w:rPr>
      </w:pPr>
      <w:r w:rsidRPr="00D1619B">
        <w:rPr>
          <w:color w:val="000000"/>
          <w:lang w:val="en-US"/>
        </w:rPr>
        <w:t>This study implements a multi-stage workflow consisting of Data Collection, Data Preprocessing, Feature Engineering, Modeling, and Evaluation. The overall research workflow is illustrated in Fig. 1 and each stage is described in detail in the following subsections.</w:t>
      </w:r>
    </w:p>
    <w:p w14:paraId="667E56AE" w14:textId="78C312CE" w:rsidR="00D1619B" w:rsidRDefault="00B401AF" w:rsidP="00D1619B">
      <w:pPr>
        <w:pStyle w:val="TeksNormal"/>
        <w:ind w:firstLine="360"/>
        <w:rPr>
          <w:noProof/>
        </w:rPr>
      </w:pPr>
      <w:r>
        <w:rPr>
          <w:noProof/>
          <w:lang w:val="en-US"/>
        </w:rPr>
        <w:lastRenderedPageBreak/>
        <mc:AlternateContent>
          <mc:Choice Requires="wps">
            <w:drawing>
              <wp:inline distT="0" distB="0" distL="0" distR="0" wp14:anchorId="37258813" wp14:editId="203C3B97">
                <wp:extent cx="304800" cy="304800"/>
                <wp:effectExtent l="0" t="0" r="0" b="0"/>
                <wp:docPr id="3" name="Rectangle 3" descr="Flowchart of XGboost-grid model | Download Scientific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74B09" id="Rectangle 3" o:spid="_x0000_s1026" alt="Flowchart of XGboost-grid model | Download Scientific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YSerO5QIAAP0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B401AF">
        <w:rPr>
          <w:noProof/>
        </w:rPr>
        <w:t xml:space="preserve"> </w:t>
      </w:r>
      <w:r>
        <w:rPr>
          <w:noProof/>
        </w:rPr>
        <w:drawing>
          <wp:inline distT="0" distB="0" distL="0" distR="0" wp14:anchorId="68ED0C4F" wp14:editId="5FC5D86E">
            <wp:extent cx="2714625" cy="228600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106" t="23418" r="29090" b="13971"/>
                    <a:stretch/>
                  </pic:blipFill>
                  <pic:spPr bwMode="auto">
                    <a:xfrm>
                      <a:off x="0" y="0"/>
                      <a:ext cx="2731778" cy="23004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40CDE6F" w14:textId="55682FCD" w:rsidR="00B401AF" w:rsidRPr="00D1619B" w:rsidRDefault="00B401AF" w:rsidP="00B401AF">
      <w:pPr>
        <w:pStyle w:val="TeksNormal"/>
        <w:ind w:firstLine="360"/>
        <w:jc w:val="center"/>
        <w:rPr>
          <w:color w:val="000000"/>
          <w:lang w:val="en-US"/>
        </w:rPr>
      </w:pPr>
      <w:r w:rsidRPr="00B401AF">
        <w:rPr>
          <w:color w:val="000000"/>
          <w:lang w:val="en-US"/>
        </w:rPr>
        <w:t>Fig. 1. Hybrid GRU</w:t>
      </w:r>
      <w:r>
        <w:rPr>
          <w:color w:val="000000"/>
          <w:lang w:val="en-US"/>
        </w:rPr>
        <w:t>-</w:t>
      </w:r>
      <w:proofErr w:type="spellStart"/>
      <w:r w:rsidRPr="00B401AF">
        <w:rPr>
          <w:color w:val="000000"/>
          <w:lang w:val="en-US"/>
        </w:rPr>
        <w:t>XGBoost</w:t>
      </w:r>
      <w:proofErr w:type="spellEnd"/>
      <w:r w:rsidRPr="00B401AF">
        <w:rPr>
          <w:color w:val="000000"/>
          <w:lang w:val="en-US"/>
        </w:rPr>
        <w:t xml:space="preserve"> Research Workflow</w:t>
      </w:r>
    </w:p>
    <w:p w14:paraId="17D03F5C" w14:textId="77777777" w:rsidR="00D1619B" w:rsidRPr="00D1619B" w:rsidRDefault="00D1619B" w:rsidP="00D1619B">
      <w:pPr>
        <w:pStyle w:val="TeksNormal"/>
        <w:ind w:firstLine="360"/>
        <w:rPr>
          <w:b/>
          <w:bCs/>
          <w:color w:val="000000"/>
          <w:lang w:val="en-US"/>
        </w:rPr>
      </w:pPr>
      <w:r w:rsidRPr="00D1619B">
        <w:rPr>
          <w:b/>
          <w:bCs/>
          <w:color w:val="000000"/>
          <w:lang w:val="en-US"/>
        </w:rPr>
        <w:t>2.1 Data Collection</w:t>
      </w:r>
    </w:p>
    <w:p w14:paraId="2B1B6059" w14:textId="77777777" w:rsidR="00D1619B" w:rsidRPr="00D1619B" w:rsidRDefault="00D1619B" w:rsidP="00D1619B">
      <w:pPr>
        <w:pStyle w:val="TeksNormal"/>
        <w:ind w:firstLine="360"/>
        <w:rPr>
          <w:color w:val="000000"/>
          <w:lang w:val="en-US"/>
        </w:rPr>
      </w:pPr>
      <w:r w:rsidRPr="00D1619B">
        <w:rPr>
          <w:color w:val="000000"/>
          <w:lang w:val="en-US"/>
        </w:rPr>
        <w:t xml:space="preserve">The dataset used in this research consists of historical daily stock prices of Bank Central Asia </w:t>
      </w:r>
      <w:proofErr w:type="spellStart"/>
      <w:r w:rsidRPr="00D1619B">
        <w:rPr>
          <w:color w:val="000000"/>
          <w:lang w:val="en-US"/>
        </w:rPr>
        <w:t>Tbk</w:t>
      </w:r>
      <w:proofErr w:type="spellEnd"/>
      <w:r w:rsidRPr="00D1619B">
        <w:rPr>
          <w:color w:val="000000"/>
          <w:lang w:val="en-US"/>
        </w:rPr>
        <w:t xml:space="preserve"> (BBCA) from January 2017 to January 2025. The data includes Open, High, Low, Close, and Volume attributes, obtained from publicly accessible financial data sources. Daily closing prices were selected as the target variable because of their relevance in stock forecasting tasks. All records were inspected to ensure consistency and completeness before further processing.</w:t>
      </w:r>
    </w:p>
    <w:p w14:paraId="544C0B73" w14:textId="06C35467" w:rsidR="00D1619B" w:rsidRPr="00D1619B" w:rsidRDefault="00D1619B" w:rsidP="00D1619B">
      <w:pPr>
        <w:pStyle w:val="TeksNormal"/>
        <w:ind w:firstLine="360"/>
        <w:rPr>
          <w:color w:val="000000"/>
          <w:lang w:val="en-US"/>
        </w:rPr>
      </w:pPr>
    </w:p>
    <w:p w14:paraId="046021CF" w14:textId="77777777" w:rsidR="00D1619B" w:rsidRPr="00D1619B" w:rsidRDefault="00D1619B" w:rsidP="00D1619B">
      <w:pPr>
        <w:pStyle w:val="TeksNormal"/>
        <w:ind w:firstLine="360"/>
        <w:rPr>
          <w:b/>
          <w:bCs/>
          <w:color w:val="000000"/>
          <w:lang w:val="en-US"/>
        </w:rPr>
      </w:pPr>
      <w:r w:rsidRPr="00D1619B">
        <w:rPr>
          <w:b/>
          <w:bCs/>
          <w:color w:val="000000"/>
          <w:lang w:val="en-US"/>
        </w:rPr>
        <w:t>2.2 Data Preprocessing</w:t>
      </w:r>
    </w:p>
    <w:p w14:paraId="76FDAC4E" w14:textId="77777777" w:rsidR="00D1619B" w:rsidRPr="00D1619B" w:rsidRDefault="00D1619B" w:rsidP="00D1619B">
      <w:pPr>
        <w:pStyle w:val="TeksNormal"/>
        <w:ind w:firstLine="360"/>
        <w:rPr>
          <w:color w:val="000000"/>
          <w:lang w:val="en-US"/>
        </w:rPr>
      </w:pPr>
      <w:r w:rsidRPr="00D1619B">
        <w:rPr>
          <w:color w:val="000000"/>
          <w:lang w:val="en-US"/>
        </w:rPr>
        <w:t>Preprocessing was performed to ensure that the dataset is clean, consistent, and suitable for the modeling stage. The following steps were applied:</w:t>
      </w:r>
    </w:p>
    <w:p w14:paraId="7CC82FAF" w14:textId="7F127D76" w:rsidR="00D1619B" w:rsidRPr="00B401AF" w:rsidRDefault="00D1619B" w:rsidP="00D1619B">
      <w:pPr>
        <w:pStyle w:val="TeksNormal"/>
        <w:numPr>
          <w:ilvl w:val="0"/>
          <w:numId w:val="12"/>
        </w:numPr>
        <w:rPr>
          <w:color w:val="000000"/>
          <w:lang w:val="en-US"/>
        </w:rPr>
      </w:pPr>
      <w:r w:rsidRPr="00B401AF">
        <w:rPr>
          <w:bCs/>
          <w:color w:val="000000"/>
          <w:lang w:val="en-US"/>
        </w:rPr>
        <w:t>Date Formatting</w:t>
      </w:r>
      <w:r w:rsidRPr="00B401AF">
        <w:rPr>
          <w:color w:val="000000"/>
          <w:lang w:val="en-US"/>
        </w:rPr>
        <w:t xml:space="preserve"> </w:t>
      </w:r>
      <w:r w:rsidR="00B401AF">
        <w:rPr>
          <w:color w:val="000000"/>
          <w:lang w:val="en-US"/>
        </w:rPr>
        <w:t>-</w:t>
      </w:r>
      <w:r w:rsidRPr="00B401AF">
        <w:rPr>
          <w:color w:val="000000"/>
          <w:lang w:val="en-US"/>
        </w:rPr>
        <w:t xml:space="preserve"> Converting the date attribute into a uniform </w:t>
      </w:r>
      <w:proofErr w:type="spellStart"/>
      <w:r w:rsidRPr="00B401AF">
        <w:rPr>
          <w:color w:val="000000"/>
          <w:lang w:val="en-US"/>
        </w:rPr>
        <w:t>datetime</w:t>
      </w:r>
      <w:proofErr w:type="spellEnd"/>
      <w:r w:rsidRPr="00B401AF">
        <w:rPr>
          <w:color w:val="000000"/>
          <w:lang w:val="en-US"/>
        </w:rPr>
        <w:t xml:space="preserve"> format and sorting the records chronologically.</w:t>
      </w:r>
    </w:p>
    <w:p w14:paraId="26DA3673" w14:textId="2F3BFC0C" w:rsidR="00D1619B" w:rsidRPr="00B401AF" w:rsidRDefault="00D1619B" w:rsidP="00D1619B">
      <w:pPr>
        <w:pStyle w:val="TeksNormal"/>
        <w:numPr>
          <w:ilvl w:val="0"/>
          <w:numId w:val="12"/>
        </w:numPr>
        <w:rPr>
          <w:color w:val="000000"/>
          <w:lang w:val="en-US"/>
        </w:rPr>
      </w:pPr>
      <w:r w:rsidRPr="00B401AF">
        <w:rPr>
          <w:bCs/>
          <w:color w:val="000000"/>
          <w:lang w:val="en-US"/>
        </w:rPr>
        <w:t>Numeric Cleaning</w:t>
      </w:r>
      <w:r w:rsidRPr="00B401AF">
        <w:rPr>
          <w:color w:val="000000"/>
          <w:lang w:val="en-US"/>
        </w:rPr>
        <w:t xml:space="preserve"> </w:t>
      </w:r>
      <w:r w:rsidR="00B401AF">
        <w:rPr>
          <w:color w:val="000000"/>
          <w:lang w:val="en-US"/>
        </w:rPr>
        <w:t>-</w:t>
      </w:r>
      <w:r w:rsidRPr="00B401AF">
        <w:rPr>
          <w:color w:val="000000"/>
          <w:lang w:val="en-US"/>
        </w:rPr>
        <w:t xml:space="preserve"> Removing comma delimiters and converting all price and volume fields into numeric values.</w:t>
      </w:r>
    </w:p>
    <w:p w14:paraId="1C67A695" w14:textId="7D49D60D" w:rsidR="00D1619B" w:rsidRPr="00B401AF" w:rsidRDefault="00D1619B" w:rsidP="00D1619B">
      <w:pPr>
        <w:pStyle w:val="TeksNormal"/>
        <w:numPr>
          <w:ilvl w:val="0"/>
          <w:numId w:val="12"/>
        </w:numPr>
        <w:rPr>
          <w:color w:val="000000"/>
          <w:lang w:val="en-US"/>
        </w:rPr>
      </w:pPr>
      <w:r w:rsidRPr="00B401AF">
        <w:rPr>
          <w:bCs/>
          <w:color w:val="000000"/>
          <w:lang w:val="en-US"/>
        </w:rPr>
        <w:t>Target Generation</w:t>
      </w:r>
      <w:r w:rsidRPr="00B401AF">
        <w:rPr>
          <w:color w:val="000000"/>
          <w:lang w:val="en-US"/>
        </w:rPr>
        <w:t xml:space="preserve"> </w:t>
      </w:r>
      <w:r w:rsidR="00B401AF">
        <w:rPr>
          <w:color w:val="000000"/>
          <w:lang w:val="en-US"/>
        </w:rPr>
        <w:t>-</w:t>
      </w:r>
      <w:r w:rsidRPr="00B401AF">
        <w:rPr>
          <w:color w:val="000000"/>
          <w:lang w:val="en-US"/>
        </w:rPr>
        <w:t xml:space="preserve"> Creating the prediction target by shifting the closing price by one day.</w:t>
      </w:r>
    </w:p>
    <w:p w14:paraId="4F6E5C93" w14:textId="34531C54" w:rsidR="00D1619B" w:rsidRPr="00B401AF" w:rsidRDefault="00D1619B" w:rsidP="00D1619B">
      <w:pPr>
        <w:pStyle w:val="TeksNormal"/>
        <w:numPr>
          <w:ilvl w:val="0"/>
          <w:numId w:val="12"/>
        </w:numPr>
        <w:rPr>
          <w:color w:val="000000"/>
          <w:lang w:val="en-US"/>
        </w:rPr>
      </w:pPr>
      <w:r w:rsidRPr="00B401AF">
        <w:rPr>
          <w:bCs/>
          <w:color w:val="000000"/>
          <w:lang w:val="en-US"/>
        </w:rPr>
        <w:t>Missing Value Handling</w:t>
      </w:r>
      <w:r w:rsidRPr="00B401AF">
        <w:rPr>
          <w:color w:val="000000"/>
          <w:lang w:val="en-US"/>
        </w:rPr>
        <w:t xml:space="preserve"> </w:t>
      </w:r>
      <w:r w:rsidR="00B401AF">
        <w:rPr>
          <w:color w:val="000000"/>
          <w:lang w:val="en-US"/>
        </w:rPr>
        <w:t>-</w:t>
      </w:r>
      <w:r w:rsidRPr="00B401AF">
        <w:rPr>
          <w:color w:val="000000"/>
          <w:lang w:val="en-US"/>
        </w:rPr>
        <w:t xml:space="preserve"> Removing rows affected by undefined technical indicators and the final row with an undefined target.</w:t>
      </w:r>
    </w:p>
    <w:p w14:paraId="57E240F4" w14:textId="12166F0C" w:rsidR="00D1619B" w:rsidRPr="00B401AF" w:rsidRDefault="00D1619B" w:rsidP="00D1619B">
      <w:pPr>
        <w:pStyle w:val="TeksNormal"/>
        <w:numPr>
          <w:ilvl w:val="0"/>
          <w:numId w:val="12"/>
        </w:numPr>
        <w:rPr>
          <w:color w:val="000000"/>
          <w:lang w:val="en-US"/>
        </w:rPr>
      </w:pPr>
      <w:r w:rsidRPr="00B401AF">
        <w:rPr>
          <w:bCs/>
          <w:color w:val="000000"/>
          <w:lang w:val="en-US"/>
        </w:rPr>
        <w:t>Scaling for GRU</w:t>
      </w:r>
      <w:r w:rsidRPr="00B401AF">
        <w:rPr>
          <w:color w:val="000000"/>
          <w:lang w:val="en-US"/>
        </w:rPr>
        <w:t xml:space="preserve"> </w:t>
      </w:r>
      <w:r w:rsidR="00B401AF">
        <w:rPr>
          <w:color w:val="000000"/>
          <w:lang w:val="en-US"/>
        </w:rPr>
        <w:t>-</w:t>
      </w:r>
      <w:r w:rsidRPr="00B401AF">
        <w:rPr>
          <w:color w:val="000000"/>
          <w:lang w:val="en-US"/>
        </w:rPr>
        <w:t xml:space="preserve"> Applying </w:t>
      </w:r>
      <w:proofErr w:type="spellStart"/>
      <w:r w:rsidRPr="00B401AF">
        <w:rPr>
          <w:color w:val="000000"/>
          <w:lang w:val="en-US"/>
        </w:rPr>
        <w:t>MinMaxScaler</w:t>
      </w:r>
      <w:proofErr w:type="spellEnd"/>
      <w:r w:rsidRPr="00B401AF">
        <w:rPr>
          <w:color w:val="000000"/>
          <w:lang w:val="en-US"/>
        </w:rPr>
        <w:t xml:space="preserve"> to normalize features for GRU input, using only the training portion of the dataset to avoid data leakage.</w:t>
      </w:r>
    </w:p>
    <w:p w14:paraId="1DE2AA68" w14:textId="543A122F" w:rsidR="00D1619B" w:rsidRPr="00B401AF" w:rsidRDefault="00D1619B" w:rsidP="00D1619B">
      <w:pPr>
        <w:pStyle w:val="TeksNormal"/>
        <w:numPr>
          <w:ilvl w:val="0"/>
          <w:numId w:val="12"/>
        </w:numPr>
        <w:rPr>
          <w:color w:val="000000"/>
          <w:lang w:val="en-US"/>
        </w:rPr>
      </w:pPr>
      <w:r w:rsidRPr="00B401AF">
        <w:rPr>
          <w:bCs/>
          <w:color w:val="000000"/>
          <w:lang w:val="en-US"/>
        </w:rPr>
        <w:t>Sequence Construction</w:t>
      </w:r>
      <w:r w:rsidRPr="00B401AF">
        <w:rPr>
          <w:color w:val="000000"/>
          <w:lang w:val="en-US"/>
        </w:rPr>
        <w:t xml:space="preserve"> </w:t>
      </w:r>
      <w:r w:rsidR="00B401AF">
        <w:rPr>
          <w:color w:val="000000"/>
          <w:lang w:val="en-US"/>
        </w:rPr>
        <w:t>-</w:t>
      </w:r>
      <w:r w:rsidRPr="00B401AF">
        <w:rPr>
          <w:color w:val="000000"/>
          <w:lang w:val="en-US"/>
        </w:rPr>
        <w:t xml:space="preserve"> Transforming the normalized dataset into sequential windows (20</w:t>
      </w:r>
      <w:r w:rsidR="00B401AF">
        <w:rPr>
          <w:color w:val="000000"/>
          <w:lang w:val="en-US"/>
        </w:rPr>
        <w:t>-</w:t>
      </w:r>
      <w:r w:rsidRPr="00B401AF">
        <w:rPr>
          <w:color w:val="000000"/>
          <w:lang w:val="en-US"/>
        </w:rPr>
        <w:t xml:space="preserve">60 </w:t>
      </w:r>
      <w:proofErr w:type="spellStart"/>
      <w:r w:rsidRPr="00B401AF">
        <w:rPr>
          <w:color w:val="000000"/>
          <w:lang w:val="en-US"/>
        </w:rPr>
        <w:t>timesteps</w:t>
      </w:r>
      <w:proofErr w:type="spellEnd"/>
      <w:r w:rsidRPr="00B401AF">
        <w:rPr>
          <w:color w:val="000000"/>
          <w:lang w:val="en-US"/>
        </w:rPr>
        <w:t>) required for GRU-based time series modeling.</w:t>
      </w:r>
    </w:p>
    <w:p w14:paraId="1BB0227D" w14:textId="0E899BA8" w:rsidR="00D1619B" w:rsidRPr="00D1619B" w:rsidRDefault="00D1619B" w:rsidP="00D1619B">
      <w:pPr>
        <w:pStyle w:val="TeksNormal"/>
        <w:ind w:firstLine="360"/>
        <w:rPr>
          <w:color w:val="000000"/>
          <w:lang w:val="en-US"/>
        </w:rPr>
      </w:pPr>
    </w:p>
    <w:p w14:paraId="4F27CC8F" w14:textId="77777777" w:rsidR="00D1619B" w:rsidRPr="00D1619B" w:rsidRDefault="00D1619B" w:rsidP="00D1619B">
      <w:pPr>
        <w:pStyle w:val="TeksNormal"/>
        <w:ind w:firstLine="360"/>
        <w:rPr>
          <w:b/>
          <w:bCs/>
          <w:color w:val="000000"/>
          <w:lang w:val="en-US"/>
        </w:rPr>
      </w:pPr>
      <w:r w:rsidRPr="00D1619B">
        <w:rPr>
          <w:b/>
          <w:bCs/>
          <w:color w:val="000000"/>
          <w:lang w:val="en-US"/>
        </w:rPr>
        <w:t>2.3 Feature Engineering</w:t>
      </w:r>
    </w:p>
    <w:p w14:paraId="44DF57CD" w14:textId="77777777" w:rsidR="00D1619B" w:rsidRPr="00D1619B" w:rsidRDefault="00D1619B" w:rsidP="00D1619B">
      <w:pPr>
        <w:pStyle w:val="TeksNormal"/>
        <w:ind w:firstLine="360"/>
        <w:rPr>
          <w:color w:val="000000"/>
          <w:lang w:val="en-US"/>
        </w:rPr>
      </w:pPr>
      <w:r w:rsidRPr="00D1619B">
        <w:rPr>
          <w:color w:val="000000"/>
          <w:lang w:val="en-US"/>
        </w:rPr>
        <w:t xml:space="preserve">Technical indicators commonly used in financial analysis were generated to enhance predictive </w:t>
      </w:r>
      <w:r w:rsidRPr="00D1619B">
        <w:rPr>
          <w:color w:val="000000"/>
          <w:lang w:val="en-US"/>
        </w:rPr>
        <w:lastRenderedPageBreak/>
        <w:t>capability. The indicators computed in this study include:</w:t>
      </w:r>
    </w:p>
    <w:p w14:paraId="473822BF" w14:textId="77777777" w:rsidR="00D1619B" w:rsidRPr="00D1619B" w:rsidRDefault="00D1619B" w:rsidP="00D1619B">
      <w:pPr>
        <w:pStyle w:val="TeksNormal"/>
        <w:numPr>
          <w:ilvl w:val="0"/>
          <w:numId w:val="13"/>
        </w:numPr>
        <w:rPr>
          <w:color w:val="000000"/>
          <w:lang w:val="en-US"/>
        </w:rPr>
      </w:pPr>
      <w:r w:rsidRPr="00D1619B">
        <w:rPr>
          <w:color w:val="000000"/>
          <w:lang w:val="en-US"/>
        </w:rPr>
        <w:t>Moving Average (MA5, MA10, MA20)</w:t>
      </w:r>
    </w:p>
    <w:p w14:paraId="4F99D9F8" w14:textId="77777777" w:rsidR="00D1619B" w:rsidRPr="00D1619B" w:rsidRDefault="00D1619B" w:rsidP="00D1619B">
      <w:pPr>
        <w:pStyle w:val="TeksNormal"/>
        <w:numPr>
          <w:ilvl w:val="0"/>
          <w:numId w:val="13"/>
        </w:numPr>
        <w:rPr>
          <w:color w:val="000000"/>
          <w:lang w:val="en-US"/>
        </w:rPr>
      </w:pPr>
      <w:r w:rsidRPr="00D1619B">
        <w:rPr>
          <w:color w:val="000000"/>
          <w:lang w:val="en-US"/>
        </w:rPr>
        <w:t>Exponential Moving Average (EMA10)</w:t>
      </w:r>
    </w:p>
    <w:p w14:paraId="5C4BDE1A" w14:textId="77777777" w:rsidR="00D1619B" w:rsidRPr="00D1619B" w:rsidRDefault="00D1619B" w:rsidP="00D1619B">
      <w:pPr>
        <w:pStyle w:val="TeksNormal"/>
        <w:numPr>
          <w:ilvl w:val="0"/>
          <w:numId w:val="13"/>
        </w:numPr>
        <w:rPr>
          <w:color w:val="000000"/>
          <w:lang w:val="en-US"/>
        </w:rPr>
      </w:pPr>
      <w:r w:rsidRPr="00D1619B">
        <w:rPr>
          <w:color w:val="000000"/>
          <w:lang w:val="en-US"/>
        </w:rPr>
        <w:t>Relative Strength Index (RSI14)</w:t>
      </w:r>
    </w:p>
    <w:p w14:paraId="65947192" w14:textId="77777777" w:rsidR="00D1619B" w:rsidRPr="00D1619B" w:rsidRDefault="00D1619B" w:rsidP="00D1619B">
      <w:pPr>
        <w:pStyle w:val="TeksNormal"/>
        <w:numPr>
          <w:ilvl w:val="0"/>
          <w:numId w:val="13"/>
        </w:numPr>
        <w:rPr>
          <w:color w:val="000000"/>
          <w:lang w:val="en-US"/>
        </w:rPr>
      </w:pPr>
      <w:r w:rsidRPr="00D1619B">
        <w:rPr>
          <w:color w:val="000000"/>
          <w:lang w:val="en-US"/>
        </w:rPr>
        <w:t>MACD and Signal Line</w:t>
      </w:r>
    </w:p>
    <w:p w14:paraId="0AD5DDFC" w14:textId="77777777" w:rsidR="00D1619B" w:rsidRPr="00D1619B" w:rsidRDefault="00D1619B" w:rsidP="00D1619B">
      <w:pPr>
        <w:pStyle w:val="TeksNormal"/>
        <w:numPr>
          <w:ilvl w:val="0"/>
          <w:numId w:val="13"/>
        </w:numPr>
        <w:rPr>
          <w:color w:val="000000"/>
          <w:lang w:val="en-US"/>
        </w:rPr>
      </w:pPr>
      <w:r w:rsidRPr="00D1619B">
        <w:rPr>
          <w:color w:val="000000"/>
          <w:lang w:val="en-US"/>
        </w:rPr>
        <w:t>Bollinger Bands (Upper, Middle, Lower)</w:t>
      </w:r>
    </w:p>
    <w:p w14:paraId="49B1CE42" w14:textId="77777777" w:rsidR="00D1619B" w:rsidRPr="00D1619B" w:rsidRDefault="00D1619B" w:rsidP="00D1619B">
      <w:pPr>
        <w:pStyle w:val="TeksNormal"/>
        <w:numPr>
          <w:ilvl w:val="0"/>
          <w:numId w:val="13"/>
        </w:numPr>
        <w:rPr>
          <w:color w:val="000000"/>
          <w:lang w:val="en-US"/>
        </w:rPr>
      </w:pPr>
      <w:r w:rsidRPr="00D1619B">
        <w:rPr>
          <w:color w:val="000000"/>
          <w:lang w:val="en-US"/>
        </w:rPr>
        <w:t>Daily Return</w:t>
      </w:r>
    </w:p>
    <w:p w14:paraId="45429F48" w14:textId="77777777" w:rsidR="00D1619B" w:rsidRPr="00D1619B" w:rsidRDefault="00D1619B" w:rsidP="00D1619B">
      <w:pPr>
        <w:pStyle w:val="TeksNormal"/>
        <w:ind w:firstLine="360"/>
        <w:rPr>
          <w:color w:val="000000"/>
          <w:lang w:val="en-US"/>
        </w:rPr>
      </w:pPr>
      <w:r w:rsidRPr="00D1619B">
        <w:rPr>
          <w:color w:val="000000"/>
          <w:lang w:val="en-US"/>
        </w:rPr>
        <w:t>These features were selected to provide trend, momentum, and volatility information, offering complementary perspectives to the raw price data.</w:t>
      </w:r>
    </w:p>
    <w:p w14:paraId="27E556D0" w14:textId="50562D12" w:rsidR="00D1619B" w:rsidRPr="00D1619B" w:rsidRDefault="00D1619B" w:rsidP="00D1619B">
      <w:pPr>
        <w:pStyle w:val="TeksNormal"/>
        <w:ind w:firstLine="360"/>
        <w:rPr>
          <w:color w:val="000000"/>
          <w:lang w:val="en-US"/>
        </w:rPr>
      </w:pPr>
    </w:p>
    <w:p w14:paraId="2440323F" w14:textId="77777777" w:rsidR="00D1619B" w:rsidRPr="00D1619B" w:rsidRDefault="00D1619B" w:rsidP="000574C7">
      <w:pPr>
        <w:pStyle w:val="TeksNormal"/>
        <w:ind w:firstLine="0"/>
        <w:rPr>
          <w:b/>
          <w:bCs/>
          <w:color w:val="000000"/>
          <w:lang w:val="en-US"/>
        </w:rPr>
      </w:pPr>
      <w:r w:rsidRPr="00D1619B">
        <w:rPr>
          <w:b/>
          <w:bCs/>
          <w:color w:val="000000"/>
          <w:lang w:val="en-US"/>
        </w:rPr>
        <w:t>2.4 Modeling Framework</w:t>
      </w:r>
    </w:p>
    <w:p w14:paraId="4DD455B4" w14:textId="542C784A" w:rsidR="00D1619B" w:rsidRPr="00D1619B" w:rsidRDefault="00D1619B" w:rsidP="00D1619B">
      <w:pPr>
        <w:pStyle w:val="TeksNormal"/>
        <w:ind w:firstLine="360"/>
        <w:rPr>
          <w:color w:val="000000"/>
          <w:lang w:val="en-US"/>
        </w:rPr>
      </w:pPr>
      <w:r w:rsidRPr="00D1619B">
        <w:rPr>
          <w:color w:val="000000"/>
          <w:lang w:val="en-US"/>
        </w:rPr>
        <w:t xml:space="preserve">Three predictive models were developed and compared: a GRU model, an </w:t>
      </w:r>
      <w:proofErr w:type="spellStart"/>
      <w:r w:rsidRPr="00D1619B">
        <w:rPr>
          <w:color w:val="000000"/>
          <w:lang w:val="en-US"/>
        </w:rPr>
        <w:t>XGBoost</w:t>
      </w:r>
      <w:proofErr w:type="spellEnd"/>
      <w:r w:rsidRPr="00D1619B">
        <w:rPr>
          <w:color w:val="000000"/>
          <w:lang w:val="en-US"/>
        </w:rPr>
        <w:t xml:space="preserve"> model, and a hybrid GRU</w:t>
      </w:r>
      <w:r w:rsidR="00B401AF">
        <w:rPr>
          <w:color w:val="000000"/>
          <w:lang w:val="en-US"/>
        </w:rPr>
        <w:t>-</w:t>
      </w:r>
      <w:proofErr w:type="spellStart"/>
      <w:r w:rsidRPr="00D1619B">
        <w:rPr>
          <w:color w:val="000000"/>
          <w:lang w:val="en-US"/>
        </w:rPr>
        <w:t>XGBoost</w:t>
      </w:r>
      <w:proofErr w:type="spellEnd"/>
      <w:r w:rsidRPr="00D1619B">
        <w:rPr>
          <w:color w:val="000000"/>
          <w:lang w:val="en-US"/>
        </w:rPr>
        <w:t xml:space="preserve"> model.</w:t>
      </w:r>
    </w:p>
    <w:p w14:paraId="65E8CAC8" w14:textId="36AD476B" w:rsidR="00D1619B" w:rsidRPr="000574C7" w:rsidRDefault="00D1619B" w:rsidP="000574C7">
      <w:pPr>
        <w:pStyle w:val="TeksNormal"/>
        <w:ind w:firstLine="0"/>
        <w:rPr>
          <w:b/>
          <w:bCs/>
          <w:color w:val="000000"/>
          <w:lang w:val="en-US"/>
        </w:rPr>
      </w:pPr>
    </w:p>
    <w:p w14:paraId="2EB8462E" w14:textId="77777777" w:rsidR="00D1619B" w:rsidRPr="00D1619B" w:rsidRDefault="00D1619B" w:rsidP="000574C7">
      <w:pPr>
        <w:pStyle w:val="TeksNormal"/>
        <w:ind w:firstLine="0"/>
        <w:rPr>
          <w:b/>
          <w:bCs/>
          <w:color w:val="000000"/>
          <w:lang w:val="en-US"/>
        </w:rPr>
      </w:pPr>
      <w:r w:rsidRPr="00D1619B">
        <w:rPr>
          <w:b/>
          <w:bCs/>
          <w:color w:val="000000"/>
          <w:lang w:val="en-US"/>
        </w:rPr>
        <w:t>2.4.1 GRU Model</w:t>
      </w:r>
    </w:p>
    <w:p w14:paraId="6E691F49" w14:textId="77777777" w:rsidR="00D1619B" w:rsidRPr="00D1619B" w:rsidRDefault="00D1619B" w:rsidP="00D1619B">
      <w:pPr>
        <w:pStyle w:val="TeksNormal"/>
        <w:ind w:firstLine="360"/>
        <w:rPr>
          <w:color w:val="000000"/>
          <w:lang w:val="en-US"/>
        </w:rPr>
      </w:pPr>
      <w:r w:rsidRPr="00D1619B">
        <w:rPr>
          <w:color w:val="000000"/>
          <w:lang w:val="en-US"/>
        </w:rPr>
        <w:t>The GRU model was built to capture temporal dependencies in the sequential stock data. The architecture consists of:</w:t>
      </w:r>
    </w:p>
    <w:p w14:paraId="51E225C9" w14:textId="77777777" w:rsidR="00D1619B" w:rsidRPr="00D1619B" w:rsidRDefault="00D1619B" w:rsidP="00D1619B">
      <w:pPr>
        <w:pStyle w:val="TeksNormal"/>
        <w:numPr>
          <w:ilvl w:val="0"/>
          <w:numId w:val="14"/>
        </w:numPr>
        <w:rPr>
          <w:color w:val="000000"/>
          <w:lang w:val="en-US"/>
        </w:rPr>
      </w:pPr>
      <w:r w:rsidRPr="00D1619B">
        <w:rPr>
          <w:color w:val="000000"/>
          <w:lang w:val="en-US"/>
        </w:rPr>
        <w:t>A GRU layer with 64 units</w:t>
      </w:r>
    </w:p>
    <w:p w14:paraId="6BD06A02" w14:textId="77777777" w:rsidR="00D1619B" w:rsidRPr="00D1619B" w:rsidRDefault="00D1619B" w:rsidP="00D1619B">
      <w:pPr>
        <w:pStyle w:val="TeksNormal"/>
        <w:numPr>
          <w:ilvl w:val="0"/>
          <w:numId w:val="14"/>
        </w:numPr>
        <w:rPr>
          <w:color w:val="000000"/>
          <w:lang w:val="en-US"/>
        </w:rPr>
      </w:pPr>
      <w:r w:rsidRPr="00D1619B">
        <w:rPr>
          <w:color w:val="000000"/>
          <w:lang w:val="en-US"/>
        </w:rPr>
        <w:t>A second GRU layer with 32 units</w:t>
      </w:r>
    </w:p>
    <w:p w14:paraId="357FAE56" w14:textId="77777777" w:rsidR="00D1619B" w:rsidRPr="00D1619B" w:rsidRDefault="00D1619B" w:rsidP="00D1619B">
      <w:pPr>
        <w:pStyle w:val="TeksNormal"/>
        <w:numPr>
          <w:ilvl w:val="0"/>
          <w:numId w:val="14"/>
        </w:numPr>
        <w:rPr>
          <w:color w:val="000000"/>
          <w:lang w:val="en-US"/>
        </w:rPr>
      </w:pPr>
      <w:r w:rsidRPr="00D1619B">
        <w:rPr>
          <w:color w:val="000000"/>
          <w:lang w:val="en-US"/>
        </w:rPr>
        <w:t>Dropout regularization</w:t>
      </w:r>
    </w:p>
    <w:p w14:paraId="7E4FEA63" w14:textId="77777777" w:rsidR="00D1619B" w:rsidRPr="00D1619B" w:rsidRDefault="00D1619B" w:rsidP="00D1619B">
      <w:pPr>
        <w:pStyle w:val="TeksNormal"/>
        <w:numPr>
          <w:ilvl w:val="0"/>
          <w:numId w:val="14"/>
        </w:numPr>
        <w:rPr>
          <w:color w:val="000000"/>
          <w:lang w:val="en-US"/>
        </w:rPr>
      </w:pPr>
      <w:r w:rsidRPr="00D1619B">
        <w:rPr>
          <w:color w:val="000000"/>
          <w:lang w:val="en-US"/>
        </w:rPr>
        <w:t>Dense layers for regression output</w:t>
      </w:r>
    </w:p>
    <w:p w14:paraId="5ADFCD4D" w14:textId="77777777" w:rsidR="00D1619B" w:rsidRPr="00D1619B" w:rsidRDefault="00D1619B" w:rsidP="00D1619B">
      <w:pPr>
        <w:pStyle w:val="TeksNormal"/>
        <w:ind w:firstLine="360"/>
        <w:rPr>
          <w:color w:val="000000"/>
          <w:lang w:val="en-US"/>
        </w:rPr>
      </w:pPr>
      <w:r w:rsidRPr="00D1619B">
        <w:rPr>
          <w:color w:val="000000"/>
          <w:lang w:val="en-US"/>
        </w:rPr>
        <w:t xml:space="preserve">The model was trained using the Adam optimizer and mean squared error (MSE) loss function. Early stopping was applied to prevent </w:t>
      </w:r>
      <w:proofErr w:type="spellStart"/>
      <w:r w:rsidRPr="00D1619B">
        <w:rPr>
          <w:color w:val="000000"/>
          <w:lang w:val="en-US"/>
        </w:rPr>
        <w:t>overfitting</w:t>
      </w:r>
      <w:proofErr w:type="spellEnd"/>
      <w:r w:rsidRPr="00D1619B">
        <w:rPr>
          <w:color w:val="000000"/>
          <w:lang w:val="en-US"/>
        </w:rPr>
        <w:t xml:space="preserve"> by monitoring validation loss.</w:t>
      </w:r>
    </w:p>
    <w:p w14:paraId="1B65CB3C" w14:textId="77777777" w:rsidR="00D1619B" w:rsidRPr="00D1619B" w:rsidRDefault="00D1619B" w:rsidP="000574C7">
      <w:pPr>
        <w:pStyle w:val="TeksNormal"/>
        <w:ind w:firstLine="0"/>
        <w:rPr>
          <w:b/>
          <w:bCs/>
          <w:color w:val="000000"/>
          <w:lang w:val="en-US"/>
        </w:rPr>
      </w:pPr>
      <w:r w:rsidRPr="00D1619B">
        <w:rPr>
          <w:b/>
          <w:bCs/>
          <w:color w:val="000000"/>
          <w:lang w:val="en-US"/>
        </w:rPr>
        <w:t xml:space="preserve">2.4.2 </w:t>
      </w:r>
      <w:proofErr w:type="spellStart"/>
      <w:r w:rsidRPr="00D1619B">
        <w:rPr>
          <w:b/>
          <w:bCs/>
          <w:color w:val="000000"/>
          <w:lang w:val="en-US"/>
        </w:rPr>
        <w:t>XGBoost</w:t>
      </w:r>
      <w:proofErr w:type="spellEnd"/>
      <w:r w:rsidRPr="00D1619B">
        <w:rPr>
          <w:b/>
          <w:bCs/>
          <w:color w:val="000000"/>
          <w:lang w:val="en-US"/>
        </w:rPr>
        <w:t xml:space="preserve"> Model</w:t>
      </w:r>
    </w:p>
    <w:p w14:paraId="2B3272D2" w14:textId="77777777" w:rsidR="00D1619B" w:rsidRPr="00D1619B" w:rsidRDefault="00D1619B" w:rsidP="00D1619B">
      <w:pPr>
        <w:pStyle w:val="TeksNormal"/>
        <w:ind w:firstLine="360"/>
        <w:rPr>
          <w:color w:val="000000"/>
          <w:lang w:val="en-US"/>
        </w:rPr>
      </w:pPr>
      <w:proofErr w:type="spellStart"/>
      <w:r w:rsidRPr="00D1619B">
        <w:rPr>
          <w:color w:val="000000"/>
          <w:lang w:val="en-US"/>
        </w:rPr>
        <w:t>XGBoost</w:t>
      </w:r>
      <w:proofErr w:type="spellEnd"/>
      <w:r w:rsidRPr="00D1619B">
        <w:rPr>
          <w:color w:val="000000"/>
          <w:lang w:val="en-US"/>
        </w:rPr>
        <w:t xml:space="preserve"> was implemented as a tabular-based baseline model. It was trained using all engineered technical features and lagged values. The key </w:t>
      </w:r>
      <w:proofErr w:type="spellStart"/>
      <w:r w:rsidRPr="00D1619B">
        <w:rPr>
          <w:color w:val="000000"/>
          <w:lang w:val="en-US"/>
        </w:rPr>
        <w:t>hyperparameters</w:t>
      </w:r>
      <w:proofErr w:type="spellEnd"/>
      <w:r w:rsidRPr="00D1619B">
        <w:rPr>
          <w:color w:val="000000"/>
          <w:lang w:val="en-US"/>
        </w:rPr>
        <w:t xml:space="preserve"> used include:</w:t>
      </w:r>
    </w:p>
    <w:p w14:paraId="496BBAB4" w14:textId="77777777" w:rsidR="00D1619B" w:rsidRPr="00D1619B" w:rsidRDefault="00D1619B" w:rsidP="00D1619B">
      <w:pPr>
        <w:pStyle w:val="TeksNormal"/>
        <w:numPr>
          <w:ilvl w:val="0"/>
          <w:numId w:val="15"/>
        </w:numPr>
        <w:rPr>
          <w:color w:val="000000"/>
          <w:lang w:val="en-US"/>
        </w:rPr>
      </w:pPr>
      <w:proofErr w:type="spellStart"/>
      <w:r w:rsidRPr="00D1619B">
        <w:rPr>
          <w:color w:val="000000"/>
          <w:lang w:val="en-US"/>
        </w:rPr>
        <w:t>n_estimators</w:t>
      </w:r>
      <w:proofErr w:type="spellEnd"/>
      <w:r w:rsidRPr="00D1619B">
        <w:rPr>
          <w:color w:val="000000"/>
          <w:lang w:val="en-US"/>
        </w:rPr>
        <w:t xml:space="preserve"> = 500</w:t>
      </w:r>
    </w:p>
    <w:p w14:paraId="44E6721E" w14:textId="77777777" w:rsidR="00D1619B" w:rsidRPr="00D1619B" w:rsidRDefault="00D1619B" w:rsidP="00D1619B">
      <w:pPr>
        <w:pStyle w:val="TeksNormal"/>
        <w:numPr>
          <w:ilvl w:val="0"/>
          <w:numId w:val="15"/>
        </w:numPr>
        <w:rPr>
          <w:color w:val="000000"/>
          <w:lang w:val="en-US"/>
        </w:rPr>
      </w:pPr>
      <w:proofErr w:type="spellStart"/>
      <w:r w:rsidRPr="00D1619B">
        <w:rPr>
          <w:color w:val="000000"/>
          <w:lang w:val="en-US"/>
        </w:rPr>
        <w:t>max_depth</w:t>
      </w:r>
      <w:proofErr w:type="spellEnd"/>
      <w:r w:rsidRPr="00D1619B">
        <w:rPr>
          <w:color w:val="000000"/>
          <w:lang w:val="en-US"/>
        </w:rPr>
        <w:t xml:space="preserve"> = 6</w:t>
      </w:r>
    </w:p>
    <w:p w14:paraId="57B4C3DC" w14:textId="77777777" w:rsidR="00D1619B" w:rsidRPr="00D1619B" w:rsidRDefault="00D1619B" w:rsidP="00D1619B">
      <w:pPr>
        <w:pStyle w:val="TeksNormal"/>
        <w:numPr>
          <w:ilvl w:val="0"/>
          <w:numId w:val="15"/>
        </w:numPr>
        <w:rPr>
          <w:color w:val="000000"/>
          <w:lang w:val="en-US"/>
        </w:rPr>
      </w:pPr>
      <w:proofErr w:type="spellStart"/>
      <w:r w:rsidRPr="00D1619B">
        <w:rPr>
          <w:color w:val="000000"/>
          <w:lang w:val="en-US"/>
        </w:rPr>
        <w:t>learning_rate</w:t>
      </w:r>
      <w:proofErr w:type="spellEnd"/>
      <w:r w:rsidRPr="00D1619B">
        <w:rPr>
          <w:color w:val="000000"/>
          <w:lang w:val="en-US"/>
        </w:rPr>
        <w:t xml:space="preserve"> = 0.05</w:t>
      </w:r>
    </w:p>
    <w:p w14:paraId="4CCABC64" w14:textId="77777777" w:rsidR="00D1619B" w:rsidRPr="00D1619B" w:rsidRDefault="00D1619B" w:rsidP="00D1619B">
      <w:pPr>
        <w:pStyle w:val="TeksNormal"/>
        <w:numPr>
          <w:ilvl w:val="0"/>
          <w:numId w:val="15"/>
        </w:numPr>
        <w:rPr>
          <w:color w:val="000000"/>
          <w:lang w:val="en-US"/>
        </w:rPr>
      </w:pPr>
      <w:r w:rsidRPr="00D1619B">
        <w:rPr>
          <w:color w:val="000000"/>
          <w:lang w:val="en-US"/>
        </w:rPr>
        <w:t>subsample = 0.8</w:t>
      </w:r>
    </w:p>
    <w:p w14:paraId="18AA30A2" w14:textId="77777777" w:rsidR="00D1619B" w:rsidRPr="00D1619B" w:rsidRDefault="00D1619B" w:rsidP="00D1619B">
      <w:pPr>
        <w:pStyle w:val="TeksNormal"/>
        <w:numPr>
          <w:ilvl w:val="0"/>
          <w:numId w:val="15"/>
        </w:numPr>
        <w:rPr>
          <w:color w:val="000000"/>
          <w:lang w:val="en-US"/>
        </w:rPr>
      </w:pPr>
      <w:proofErr w:type="spellStart"/>
      <w:r w:rsidRPr="00D1619B">
        <w:rPr>
          <w:color w:val="000000"/>
          <w:lang w:val="en-US"/>
        </w:rPr>
        <w:t>colsample_bytree</w:t>
      </w:r>
      <w:proofErr w:type="spellEnd"/>
      <w:r w:rsidRPr="00D1619B">
        <w:rPr>
          <w:color w:val="000000"/>
          <w:lang w:val="en-US"/>
        </w:rPr>
        <w:t xml:space="preserve"> = 0.8</w:t>
      </w:r>
    </w:p>
    <w:p w14:paraId="54186455" w14:textId="77777777" w:rsidR="00D1619B" w:rsidRPr="00D1619B" w:rsidRDefault="00D1619B" w:rsidP="00D1619B">
      <w:pPr>
        <w:pStyle w:val="TeksNormal"/>
        <w:ind w:firstLine="360"/>
        <w:rPr>
          <w:color w:val="000000"/>
          <w:lang w:val="en-US"/>
        </w:rPr>
      </w:pPr>
      <w:r w:rsidRPr="00D1619B">
        <w:rPr>
          <w:color w:val="000000"/>
          <w:lang w:val="en-US"/>
        </w:rPr>
        <w:t>The model was optimized to capture nonlinear interactions and complex feature relationships.</w:t>
      </w:r>
    </w:p>
    <w:p w14:paraId="46CDF489" w14:textId="46FF93ED" w:rsidR="00D1619B" w:rsidRPr="00D1619B" w:rsidRDefault="00D1619B" w:rsidP="00D1619B">
      <w:pPr>
        <w:pStyle w:val="TeksNormal"/>
        <w:ind w:firstLine="360"/>
        <w:rPr>
          <w:color w:val="000000"/>
          <w:lang w:val="en-US"/>
        </w:rPr>
      </w:pPr>
    </w:p>
    <w:p w14:paraId="662AF592" w14:textId="77D126C7" w:rsidR="00D1619B" w:rsidRPr="00D1619B" w:rsidRDefault="00D1619B" w:rsidP="000574C7">
      <w:pPr>
        <w:pStyle w:val="TeksNormal"/>
        <w:ind w:firstLine="0"/>
        <w:rPr>
          <w:b/>
          <w:bCs/>
          <w:color w:val="000000"/>
          <w:lang w:val="en-US"/>
        </w:rPr>
      </w:pPr>
      <w:r w:rsidRPr="00D1619B">
        <w:rPr>
          <w:b/>
          <w:bCs/>
          <w:color w:val="000000"/>
          <w:lang w:val="en-US"/>
        </w:rPr>
        <w:t>2.4.3 Hybrid GRU</w:t>
      </w:r>
      <w:r w:rsidR="00B401AF">
        <w:rPr>
          <w:b/>
          <w:bCs/>
          <w:color w:val="000000"/>
          <w:lang w:val="en-US"/>
        </w:rPr>
        <w:t>-</w:t>
      </w:r>
      <w:proofErr w:type="spellStart"/>
      <w:r w:rsidRPr="00D1619B">
        <w:rPr>
          <w:b/>
          <w:bCs/>
          <w:color w:val="000000"/>
          <w:lang w:val="en-US"/>
        </w:rPr>
        <w:t>XGBoost</w:t>
      </w:r>
      <w:proofErr w:type="spellEnd"/>
      <w:r w:rsidRPr="00D1619B">
        <w:rPr>
          <w:b/>
          <w:bCs/>
          <w:color w:val="000000"/>
          <w:lang w:val="en-US"/>
        </w:rPr>
        <w:t xml:space="preserve"> Model</w:t>
      </w:r>
    </w:p>
    <w:p w14:paraId="191BDF06" w14:textId="77777777" w:rsidR="00D1619B" w:rsidRPr="00D1619B" w:rsidRDefault="00D1619B" w:rsidP="00D1619B">
      <w:pPr>
        <w:pStyle w:val="TeksNormal"/>
        <w:ind w:firstLine="360"/>
        <w:rPr>
          <w:color w:val="000000"/>
          <w:lang w:val="en-US"/>
        </w:rPr>
      </w:pPr>
      <w:r w:rsidRPr="00D1619B">
        <w:rPr>
          <w:color w:val="000000"/>
          <w:lang w:val="en-US"/>
        </w:rPr>
        <w:t xml:space="preserve">The hybrid model integrates sequential learning from the GRU model with the nonlinear tabular modeling capability of </w:t>
      </w:r>
      <w:proofErr w:type="spellStart"/>
      <w:r w:rsidRPr="00D1619B">
        <w:rPr>
          <w:color w:val="000000"/>
          <w:lang w:val="en-US"/>
        </w:rPr>
        <w:t>XGBoost</w:t>
      </w:r>
      <w:proofErr w:type="spellEnd"/>
      <w:r w:rsidRPr="00D1619B">
        <w:rPr>
          <w:color w:val="000000"/>
          <w:lang w:val="en-US"/>
        </w:rPr>
        <w:t xml:space="preserve">. The GRU predictions are appended to the original feature set and used as additional inputs for an </w:t>
      </w:r>
      <w:proofErr w:type="spellStart"/>
      <w:r w:rsidRPr="00D1619B">
        <w:rPr>
          <w:color w:val="000000"/>
          <w:lang w:val="en-US"/>
        </w:rPr>
        <w:t>XGBoost</w:t>
      </w:r>
      <w:proofErr w:type="spellEnd"/>
      <w:r w:rsidRPr="00D1619B">
        <w:rPr>
          <w:color w:val="000000"/>
          <w:lang w:val="en-US"/>
        </w:rPr>
        <w:t xml:space="preserve"> meta-</w:t>
      </w:r>
      <w:proofErr w:type="spellStart"/>
      <w:r w:rsidRPr="00D1619B">
        <w:rPr>
          <w:color w:val="000000"/>
          <w:lang w:val="en-US"/>
        </w:rPr>
        <w:t>regressor</w:t>
      </w:r>
      <w:proofErr w:type="spellEnd"/>
      <w:r w:rsidRPr="00D1619B">
        <w:rPr>
          <w:color w:val="000000"/>
          <w:lang w:val="en-US"/>
        </w:rPr>
        <w:t>. This stacked ensemble approach enables the hybrid model to utilize both temporal patterns and engineered feature interactions.</w:t>
      </w:r>
    </w:p>
    <w:p w14:paraId="5D479BC1" w14:textId="55DACA08" w:rsidR="00D1619B" w:rsidRPr="00D1619B" w:rsidRDefault="00D1619B" w:rsidP="00D1619B">
      <w:pPr>
        <w:pStyle w:val="TeksNormal"/>
        <w:ind w:firstLine="360"/>
        <w:rPr>
          <w:color w:val="000000"/>
          <w:lang w:val="en-US"/>
        </w:rPr>
      </w:pPr>
    </w:p>
    <w:p w14:paraId="1F2F2C42" w14:textId="77777777" w:rsidR="00D1619B" w:rsidRPr="00D1619B" w:rsidRDefault="00D1619B" w:rsidP="000574C7">
      <w:pPr>
        <w:pStyle w:val="TeksNormal"/>
        <w:ind w:firstLine="0"/>
        <w:rPr>
          <w:b/>
          <w:bCs/>
          <w:color w:val="000000"/>
          <w:lang w:val="en-US"/>
        </w:rPr>
      </w:pPr>
      <w:r w:rsidRPr="00D1619B">
        <w:rPr>
          <w:b/>
          <w:bCs/>
          <w:color w:val="000000"/>
          <w:lang w:val="en-US"/>
        </w:rPr>
        <w:t>2.5 Evaluation Metrics</w:t>
      </w:r>
    </w:p>
    <w:p w14:paraId="6FC19E17" w14:textId="77777777" w:rsidR="00D1619B" w:rsidRPr="00D1619B" w:rsidRDefault="00D1619B" w:rsidP="00D1619B">
      <w:pPr>
        <w:pStyle w:val="TeksNormal"/>
        <w:ind w:firstLine="360"/>
        <w:rPr>
          <w:color w:val="000000"/>
          <w:lang w:val="en-US"/>
        </w:rPr>
      </w:pPr>
      <w:r w:rsidRPr="00D1619B">
        <w:rPr>
          <w:color w:val="000000"/>
          <w:lang w:val="en-US"/>
        </w:rPr>
        <w:t>Model performance was measured using several regression metrics:</w:t>
      </w:r>
    </w:p>
    <w:p w14:paraId="71DAC872" w14:textId="77777777" w:rsidR="00D1619B" w:rsidRPr="000574C7" w:rsidRDefault="00D1619B" w:rsidP="00D1619B">
      <w:pPr>
        <w:pStyle w:val="TeksNormal"/>
        <w:numPr>
          <w:ilvl w:val="0"/>
          <w:numId w:val="16"/>
        </w:numPr>
        <w:rPr>
          <w:color w:val="000000"/>
          <w:lang w:val="en-US"/>
        </w:rPr>
      </w:pPr>
      <w:r w:rsidRPr="000574C7">
        <w:rPr>
          <w:bCs/>
          <w:color w:val="000000"/>
          <w:lang w:val="en-US"/>
        </w:rPr>
        <w:t>Mean Absolute Error (MAE)</w:t>
      </w:r>
    </w:p>
    <w:p w14:paraId="7148B36C" w14:textId="77777777" w:rsidR="00D1619B" w:rsidRPr="000574C7" w:rsidRDefault="00D1619B" w:rsidP="00D1619B">
      <w:pPr>
        <w:pStyle w:val="TeksNormal"/>
        <w:numPr>
          <w:ilvl w:val="0"/>
          <w:numId w:val="16"/>
        </w:numPr>
        <w:rPr>
          <w:color w:val="000000"/>
          <w:lang w:val="en-US"/>
        </w:rPr>
      </w:pPr>
      <w:r w:rsidRPr="000574C7">
        <w:rPr>
          <w:bCs/>
          <w:color w:val="000000"/>
          <w:lang w:val="en-US"/>
        </w:rPr>
        <w:t>Root Mean Squared Error (RMSE)</w:t>
      </w:r>
    </w:p>
    <w:p w14:paraId="0D1839BD" w14:textId="77777777" w:rsidR="00D1619B" w:rsidRPr="000574C7" w:rsidRDefault="00D1619B" w:rsidP="00D1619B">
      <w:pPr>
        <w:pStyle w:val="TeksNormal"/>
        <w:numPr>
          <w:ilvl w:val="0"/>
          <w:numId w:val="16"/>
        </w:numPr>
        <w:rPr>
          <w:color w:val="000000"/>
          <w:lang w:val="en-US"/>
        </w:rPr>
      </w:pPr>
      <w:r w:rsidRPr="000574C7">
        <w:rPr>
          <w:bCs/>
          <w:color w:val="000000"/>
          <w:lang w:val="en-US"/>
        </w:rPr>
        <w:t>Mean Absolute Percentage Error (MAPE)</w:t>
      </w:r>
    </w:p>
    <w:p w14:paraId="756BB2BE" w14:textId="77777777" w:rsidR="00D1619B" w:rsidRPr="000574C7" w:rsidRDefault="00D1619B" w:rsidP="00D1619B">
      <w:pPr>
        <w:pStyle w:val="TeksNormal"/>
        <w:numPr>
          <w:ilvl w:val="0"/>
          <w:numId w:val="16"/>
        </w:numPr>
        <w:rPr>
          <w:color w:val="000000"/>
          <w:lang w:val="en-US"/>
        </w:rPr>
      </w:pPr>
      <w:r w:rsidRPr="000574C7">
        <w:rPr>
          <w:bCs/>
          <w:color w:val="000000"/>
          <w:lang w:val="en-US"/>
        </w:rPr>
        <w:t>Coefficient of Determination (R²)</w:t>
      </w:r>
    </w:p>
    <w:p w14:paraId="3FB50DDF" w14:textId="276D4482" w:rsidR="00D1619B" w:rsidRPr="00D1619B" w:rsidRDefault="00D1619B" w:rsidP="00D1619B">
      <w:pPr>
        <w:pStyle w:val="TeksNormal"/>
        <w:ind w:firstLine="360"/>
        <w:rPr>
          <w:color w:val="000000"/>
          <w:lang w:val="en-US"/>
        </w:rPr>
      </w:pPr>
      <w:r w:rsidRPr="00D1619B">
        <w:rPr>
          <w:color w:val="000000"/>
          <w:lang w:val="en-US"/>
        </w:rPr>
        <w:lastRenderedPageBreak/>
        <w:t xml:space="preserve">The dataset was split chronologically into 80% for training and 20% for testing to simulate real-world forecasting conditions. The evaluation compares the GRU, </w:t>
      </w:r>
      <w:proofErr w:type="spellStart"/>
      <w:r w:rsidRPr="00D1619B">
        <w:rPr>
          <w:color w:val="000000"/>
          <w:lang w:val="en-US"/>
        </w:rPr>
        <w:t>XGBoost</w:t>
      </w:r>
      <w:proofErr w:type="spellEnd"/>
      <w:r w:rsidRPr="00D1619B">
        <w:rPr>
          <w:color w:val="000000"/>
          <w:lang w:val="en-US"/>
        </w:rPr>
        <w:t>, and hybrid models using identical train</w:t>
      </w:r>
      <w:r w:rsidR="00B401AF">
        <w:rPr>
          <w:color w:val="000000"/>
          <w:lang w:val="en-US"/>
        </w:rPr>
        <w:t>-</w:t>
      </w:r>
      <w:r w:rsidRPr="00D1619B">
        <w:rPr>
          <w:color w:val="000000"/>
          <w:lang w:val="en-US"/>
        </w:rPr>
        <w:t>test partitions. In addition, SHAP-based Explainable AI analysis was applied to the hybrid model to identify dominant features contributing to stock price predictions.</w:t>
      </w:r>
    </w:p>
    <w:bookmarkEnd w:id="6"/>
    <w:p w14:paraId="5EB3E88B" w14:textId="41A5427B" w:rsidR="001448CC" w:rsidRPr="00AA68F8" w:rsidRDefault="00B401AF" w:rsidP="008B3AF1">
      <w:pPr>
        <w:pStyle w:val="Heading1"/>
        <w:spacing w:before="120"/>
      </w:pPr>
      <w:r w:rsidRPr="00B401AF">
        <w:rPr>
          <w:lang w:val="en-US"/>
        </w:rPr>
        <w:t>RESULT AND DISCUSSION</w:t>
      </w:r>
    </w:p>
    <w:p w14:paraId="79EE36F1" w14:textId="6FD4A606" w:rsidR="00B401AF" w:rsidRPr="00B401AF" w:rsidRDefault="00B401AF" w:rsidP="00B401AF">
      <w:pPr>
        <w:spacing w:after="120"/>
        <w:ind w:firstLine="360"/>
        <w:jc w:val="both"/>
        <w:rPr>
          <w:color w:val="000000"/>
          <w:sz w:val="20"/>
          <w:szCs w:val="20"/>
          <w:lang w:val="en"/>
        </w:rPr>
      </w:pPr>
      <w:bookmarkStart w:id="7" w:name="_Hlk67818393"/>
      <w:r w:rsidRPr="00B401AF">
        <w:rPr>
          <w:color w:val="000000"/>
          <w:sz w:val="20"/>
          <w:szCs w:val="20"/>
          <w:lang w:val="en"/>
        </w:rPr>
        <w:t xml:space="preserve">This section presents the experimental results and discusses the performance of the GRU, </w:t>
      </w:r>
      <w:proofErr w:type="spellStart"/>
      <w:r w:rsidRPr="00B401AF">
        <w:rPr>
          <w:color w:val="000000"/>
          <w:sz w:val="20"/>
          <w:szCs w:val="20"/>
          <w:lang w:val="en"/>
        </w:rPr>
        <w:t>XGBoost</w:t>
      </w:r>
      <w:proofErr w:type="spellEnd"/>
      <w:r w:rsidRPr="00B401AF">
        <w:rPr>
          <w:color w:val="000000"/>
          <w:sz w:val="20"/>
          <w:szCs w:val="20"/>
          <w:lang w:val="en"/>
        </w:rPr>
        <w:t>, and Hybrid GRU</w:t>
      </w:r>
      <w:r>
        <w:rPr>
          <w:color w:val="000000"/>
          <w:sz w:val="20"/>
          <w:szCs w:val="20"/>
          <w:lang w:val="en"/>
        </w:rPr>
        <w:t>-</w:t>
      </w:r>
      <w:proofErr w:type="spellStart"/>
      <w:r w:rsidRPr="00B401AF">
        <w:rPr>
          <w:color w:val="000000"/>
          <w:sz w:val="20"/>
          <w:szCs w:val="20"/>
          <w:lang w:val="en"/>
        </w:rPr>
        <w:t>XGBoost</w:t>
      </w:r>
      <w:proofErr w:type="spellEnd"/>
      <w:r w:rsidRPr="00B401AF">
        <w:rPr>
          <w:color w:val="000000"/>
          <w:sz w:val="20"/>
          <w:szCs w:val="20"/>
          <w:lang w:val="en"/>
        </w:rPr>
        <w:t xml:space="preserve"> models in predicting the BBCA stock closing price. The evaluation focuses on accuracy, generalization ability, and interpretability, followed by feature importance analysis using SHAP.</w:t>
      </w:r>
    </w:p>
    <w:p w14:paraId="2A2FED1F" w14:textId="6BF66346" w:rsidR="00B401AF" w:rsidRPr="00B401AF" w:rsidRDefault="00B401AF" w:rsidP="00B401AF">
      <w:pPr>
        <w:pStyle w:val="Heading2"/>
        <w:numPr>
          <w:ilvl w:val="0"/>
          <w:numId w:val="6"/>
        </w:numPr>
        <w:ind w:left="360"/>
        <w:rPr>
          <w:lang w:val="en-US"/>
        </w:rPr>
      </w:pPr>
      <w:r w:rsidRPr="00B401AF">
        <w:rPr>
          <w:lang w:val="en-US"/>
        </w:rPr>
        <w:t>Data Overview</w:t>
      </w:r>
    </w:p>
    <w:p w14:paraId="5A5677DB" w14:textId="66804FFB"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The final dataset consisted of daily BBCA stock prices from 2017 to 2025 after preprocessing and feature construction. Several technical indicators</w:t>
      </w:r>
      <w:r>
        <w:rPr>
          <w:color w:val="000000"/>
          <w:sz w:val="20"/>
          <w:szCs w:val="20"/>
          <w:lang w:val="en"/>
        </w:rPr>
        <w:t>-</w:t>
      </w:r>
      <w:r w:rsidRPr="00B401AF">
        <w:rPr>
          <w:color w:val="000000"/>
          <w:sz w:val="20"/>
          <w:szCs w:val="20"/>
          <w:lang w:val="en"/>
        </w:rPr>
        <w:t>such as MA, EMA, RSI, MACD, and Bollinger Bands</w:t>
      </w:r>
      <w:r>
        <w:rPr>
          <w:color w:val="000000"/>
          <w:sz w:val="20"/>
          <w:szCs w:val="20"/>
          <w:lang w:val="en"/>
        </w:rPr>
        <w:t>-</w:t>
      </w:r>
      <w:r w:rsidRPr="00B401AF">
        <w:rPr>
          <w:color w:val="000000"/>
          <w:sz w:val="20"/>
          <w:szCs w:val="20"/>
          <w:lang w:val="en"/>
        </w:rPr>
        <w:t>were successfully computed and aligned with the raw OHLCV features. The data distribution showed stable long-term growth with occasional volatility spikes, reflecting macroeconomic fluctuations affecting the Indonesian banking sector.</w:t>
      </w:r>
    </w:p>
    <w:p w14:paraId="4DD3D43C" w14:textId="20FD121C" w:rsidR="00B401AF" w:rsidRPr="00B401AF" w:rsidRDefault="00B401AF" w:rsidP="00B401AF">
      <w:pPr>
        <w:pStyle w:val="Heading2"/>
        <w:numPr>
          <w:ilvl w:val="0"/>
          <w:numId w:val="6"/>
        </w:numPr>
        <w:ind w:left="360"/>
        <w:rPr>
          <w:lang w:val="en-US"/>
        </w:rPr>
      </w:pPr>
      <w:r w:rsidRPr="00B401AF">
        <w:rPr>
          <w:lang w:val="en-US"/>
        </w:rPr>
        <w:t>Model Performance Evaluation</w:t>
      </w:r>
    </w:p>
    <w:p w14:paraId="5DFB898B" w14:textId="2E766FD9"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 xml:space="preserve">Three models were evaluated: GRU, </w:t>
      </w:r>
      <w:proofErr w:type="spellStart"/>
      <w:r w:rsidRPr="00B401AF">
        <w:rPr>
          <w:color w:val="000000"/>
          <w:sz w:val="20"/>
          <w:szCs w:val="20"/>
          <w:lang w:val="en"/>
        </w:rPr>
        <w:t>XGBoost</w:t>
      </w:r>
      <w:proofErr w:type="spellEnd"/>
      <w:r w:rsidRPr="00B401AF">
        <w:rPr>
          <w:color w:val="000000"/>
          <w:sz w:val="20"/>
          <w:szCs w:val="20"/>
          <w:lang w:val="en"/>
        </w:rPr>
        <w:t>, and the Hybrid GRU</w:t>
      </w:r>
      <w:r>
        <w:rPr>
          <w:color w:val="000000"/>
          <w:sz w:val="20"/>
          <w:szCs w:val="20"/>
          <w:lang w:val="en"/>
        </w:rPr>
        <w:t>-</w:t>
      </w:r>
      <w:proofErr w:type="spellStart"/>
      <w:r w:rsidRPr="00B401AF">
        <w:rPr>
          <w:color w:val="000000"/>
          <w:sz w:val="20"/>
          <w:szCs w:val="20"/>
          <w:lang w:val="en"/>
        </w:rPr>
        <w:t>XGBoost</w:t>
      </w:r>
      <w:proofErr w:type="spellEnd"/>
      <w:r w:rsidRPr="00B401AF">
        <w:rPr>
          <w:color w:val="000000"/>
          <w:sz w:val="20"/>
          <w:szCs w:val="20"/>
          <w:lang w:val="en"/>
        </w:rPr>
        <w:t xml:space="preserve"> model. Performance was measured using MAE, RMSE, MAPE, and R² on the test set. Table 1 summarizes the results.</w:t>
      </w:r>
    </w:p>
    <w:p w14:paraId="306AE6C3" w14:textId="77777777" w:rsidR="00B401AF" w:rsidRPr="00B401AF" w:rsidRDefault="00B401AF" w:rsidP="0088749A">
      <w:pPr>
        <w:spacing w:after="120"/>
        <w:ind w:firstLine="360"/>
        <w:jc w:val="center"/>
        <w:rPr>
          <w:color w:val="000000"/>
          <w:sz w:val="20"/>
          <w:szCs w:val="20"/>
          <w:lang w:val="en"/>
        </w:rPr>
      </w:pPr>
      <w:r w:rsidRPr="00B401AF">
        <w:rPr>
          <w:color w:val="000000"/>
          <w:sz w:val="20"/>
          <w:szCs w:val="20"/>
          <w:lang w:val="en"/>
        </w:rPr>
        <w:t>Table 1. Model Performance Comparison on Test Data</w:t>
      </w:r>
    </w:p>
    <w:tbl>
      <w:tblPr>
        <w:tblW w:w="4329" w:type="dxa"/>
        <w:tblLook w:val="04A0" w:firstRow="1" w:lastRow="0" w:firstColumn="1" w:lastColumn="0" w:noHBand="0" w:noVBand="1"/>
      </w:tblPr>
      <w:tblGrid>
        <w:gridCol w:w="1311"/>
        <w:gridCol w:w="915"/>
        <w:gridCol w:w="767"/>
        <w:gridCol w:w="739"/>
        <w:gridCol w:w="597"/>
      </w:tblGrid>
      <w:tr w:rsidR="0088749A" w:rsidRPr="0088749A" w14:paraId="365F184D" w14:textId="77777777" w:rsidTr="0088749A">
        <w:trPr>
          <w:trHeight w:val="417"/>
        </w:trPr>
        <w:tc>
          <w:tcPr>
            <w:tcW w:w="1134" w:type="dxa"/>
            <w:tcBorders>
              <w:top w:val="single" w:sz="4" w:space="0" w:color="auto"/>
              <w:left w:val="nil"/>
              <w:bottom w:val="single" w:sz="4" w:space="0" w:color="auto"/>
              <w:right w:val="nil"/>
            </w:tcBorders>
            <w:shd w:val="clear" w:color="auto" w:fill="auto"/>
            <w:noWrap/>
            <w:vAlign w:val="center"/>
            <w:hideMark/>
          </w:tcPr>
          <w:p w14:paraId="7A604053" w14:textId="77777777" w:rsidR="0088749A" w:rsidRPr="0088749A" w:rsidRDefault="0088749A" w:rsidP="0088749A">
            <w:pPr>
              <w:jc w:val="both"/>
              <w:rPr>
                <w:bCs/>
                <w:color w:val="000000"/>
                <w:sz w:val="18"/>
                <w:szCs w:val="20"/>
              </w:rPr>
            </w:pPr>
            <w:r w:rsidRPr="0088749A">
              <w:rPr>
                <w:bCs/>
                <w:color w:val="000000"/>
                <w:sz w:val="18"/>
                <w:szCs w:val="20"/>
                <w:lang w:val="en"/>
              </w:rPr>
              <w:t>Model</w:t>
            </w:r>
          </w:p>
        </w:tc>
        <w:tc>
          <w:tcPr>
            <w:tcW w:w="1041" w:type="dxa"/>
            <w:tcBorders>
              <w:top w:val="single" w:sz="4" w:space="0" w:color="auto"/>
              <w:left w:val="nil"/>
              <w:bottom w:val="single" w:sz="4" w:space="0" w:color="auto"/>
              <w:right w:val="nil"/>
            </w:tcBorders>
            <w:shd w:val="clear" w:color="auto" w:fill="auto"/>
            <w:noWrap/>
            <w:vAlign w:val="center"/>
            <w:hideMark/>
          </w:tcPr>
          <w:p w14:paraId="5990A796" w14:textId="77777777" w:rsidR="0088749A" w:rsidRPr="0088749A" w:rsidRDefault="0088749A" w:rsidP="0088749A">
            <w:pPr>
              <w:jc w:val="both"/>
              <w:rPr>
                <w:bCs/>
                <w:color w:val="000000"/>
                <w:sz w:val="18"/>
                <w:szCs w:val="20"/>
              </w:rPr>
            </w:pPr>
            <w:r w:rsidRPr="0088749A">
              <w:rPr>
                <w:bCs/>
                <w:color w:val="000000"/>
                <w:sz w:val="18"/>
                <w:szCs w:val="20"/>
              </w:rPr>
              <w:t>Test MAE</w:t>
            </w:r>
          </w:p>
        </w:tc>
        <w:tc>
          <w:tcPr>
            <w:tcW w:w="786" w:type="dxa"/>
            <w:tcBorders>
              <w:top w:val="single" w:sz="4" w:space="0" w:color="auto"/>
              <w:left w:val="nil"/>
              <w:bottom w:val="single" w:sz="4" w:space="0" w:color="auto"/>
              <w:right w:val="nil"/>
            </w:tcBorders>
            <w:shd w:val="clear" w:color="auto" w:fill="auto"/>
            <w:noWrap/>
            <w:vAlign w:val="center"/>
            <w:hideMark/>
          </w:tcPr>
          <w:p w14:paraId="1D7A1404" w14:textId="77777777" w:rsidR="0088749A" w:rsidRPr="0088749A" w:rsidRDefault="0088749A" w:rsidP="0088749A">
            <w:pPr>
              <w:jc w:val="both"/>
              <w:rPr>
                <w:bCs/>
                <w:color w:val="000000"/>
                <w:sz w:val="18"/>
                <w:szCs w:val="20"/>
              </w:rPr>
            </w:pPr>
            <w:r w:rsidRPr="0088749A">
              <w:rPr>
                <w:bCs/>
                <w:color w:val="000000"/>
                <w:sz w:val="18"/>
                <w:szCs w:val="20"/>
              </w:rPr>
              <w:t>Test RMSE</w:t>
            </w:r>
          </w:p>
        </w:tc>
        <w:tc>
          <w:tcPr>
            <w:tcW w:w="757" w:type="dxa"/>
            <w:tcBorders>
              <w:top w:val="single" w:sz="4" w:space="0" w:color="auto"/>
              <w:left w:val="nil"/>
              <w:bottom w:val="single" w:sz="4" w:space="0" w:color="auto"/>
              <w:right w:val="nil"/>
            </w:tcBorders>
            <w:shd w:val="clear" w:color="auto" w:fill="auto"/>
            <w:noWrap/>
            <w:vAlign w:val="center"/>
            <w:hideMark/>
          </w:tcPr>
          <w:p w14:paraId="6F5E8DDB" w14:textId="77777777" w:rsidR="0088749A" w:rsidRPr="0088749A" w:rsidRDefault="0088749A" w:rsidP="0088749A">
            <w:pPr>
              <w:jc w:val="both"/>
              <w:rPr>
                <w:bCs/>
                <w:color w:val="000000"/>
                <w:sz w:val="18"/>
                <w:szCs w:val="20"/>
              </w:rPr>
            </w:pPr>
            <w:r w:rsidRPr="0088749A">
              <w:rPr>
                <w:bCs/>
                <w:color w:val="000000"/>
                <w:sz w:val="18"/>
                <w:szCs w:val="20"/>
              </w:rPr>
              <w:t>Test MAPE</w:t>
            </w:r>
          </w:p>
        </w:tc>
        <w:tc>
          <w:tcPr>
            <w:tcW w:w="611" w:type="dxa"/>
            <w:tcBorders>
              <w:top w:val="single" w:sz="4" w:space="0" w:color="auto"/>
              <w:left w:val="nil"/>
              <w:bottom w:val="single" w:sz="4" w:space="0" w:color="auto"/>
              <w:right w:val="nil"/>
            </w:tcBorders>
            <w:shd w:val="clear" w:color="auto" w:fill="auto"/>
            <w:noWrap/>
            <w:vAlign w:val="center"/>
            <w:hideMark/>
          </w:tcPr>
          <w:p w14:paraId="1974F170" w14:textId="77777777" w:rsidR="0088749A" w:rsidRPr="0088749A" w:rsidRDefault="0088749A" w:rsidP="0088749A">
            <w:pPr>
              <w:jc w:val="both"/>
              <w:rPr>
                <w:bCs/>
                <w:color w:val="000000"/>
                <w:sz w:val="18"/>
                <w:szCs w:val="20"/>
              </w:rPr>
            </w:pPr>
            <w:r w:rsidRPr="0088749A">
              <w:rPr>
                <w:bCs/>
                <w:color w:val="000000"/>
                <w:sz w:val="18"/>
                <w:szCs w:val="20"/>
              </w:rPr>
              <w:t>Test R²</w:t>
            </w:r>
          </w:p>
        </w:tc>
      </w:tr>
      <w:tr w:rsidR="0088749A" w:rsidRPr="0088749A" w14:paraId="0F0AFCC1" w14:textId="77777777" w:rsidTr="0088749A">
        <w:trPr>
          <w:trHeight w:val="245"/>
        </w:trPr>
        <w:tc>
          <w:tcPr>
            <w:tcW w:w="1134" w:type="dxa"/>
            <w:tcBorders>
              <w:top w:val="nil"/>
              <w:left w:val="nil"/>
              <w:bottom w:val="single" w:sz="4" w:space="0" w:color="auto"/>
              <w:right w:val="nil"/>
            </w:tcBorders>
            <w:shd w:val="clear" w:color="auto" w:fill="auto"/>
            <w:noWrap/>
            <w:vAlign w:val="center"/>
            <w:hideMark/>
          </w:tcPr>
          <w:p w14:paraId="793407CD" w14:textId="77777777" w:rsidR="0088749A" w:rsidRPr="0088749A" w:rsidRDefault="0088749A" w:rsidP="0088749A">
            <w:pPr>
              <w:jc w:val="both"/>
              <w:rPr>
                <w:color w:val="000000"/>
                <w:sz w:val="20"/>
                <w:szCs w:val="20"/>
              </w:rPr>
            </w:pPr>
            <w:r w:rsidRPr="0088749A">
              <w:rPr>
                <w:color w:val="000000"/>
                <w:sz w:val="20"/>
                <w:szCs w:val="20"/>
                <w:lang w:val="en"/>
              </w:rPr>
              <w:t>GRU</w:t>
            </w:r>
          </w:p>
        </w:tc>
        <w:tc>
          <w:tcPr>
            <w:tcW w:w="1041" w:type="dxa"/>
            <w:tcBorders>
              <w:top w:val="nil"/>
              <w:left w:val="nil"/>
              <w:bottom w:val="single" w:sz="4" w:space="0" w:color="auto"/>
              <w:right w:val="nil"/>
            </w:tcBorders>
            <w:shd w:val="clear" w:color="auto" w:fill="auto"/>
            <w:noWrap/>
            <w:vAlign w:val="center"/>
            <w:hideMark/>
          </w:tcPr>
          <w:p w14:paraId="5C1C4EC3" w14:textId="77777777" w:rsidR="0088749A" w:rsidRPr="0088749A" w:rsidRDefault="0088749A" w:rsidP="0088749A">
            <w:pPr>
              <w:jc w:val="both"/>
              <w:rPr>
                <w:color w:val="000000"/>
                <w:sz w:val="20"/>
                <w:szCs w:val="20"/>
              </w:rPr>
            </w:pPr>
            <w:r w:rsidRPr="0088749A">
              <w:rPr>
                <w:color w:val="000000"/>
                <w:sz w:val="20"/>
                <w:szCs w:val="20"/>
              </w:rPr>
              <w:t>1243.01</w:t>
            </w:r>
          </w:p>
        </w:tc>
        <w:tc>
          <w:tcPr>
            <w:tcW w:w="786" w:type="dxa"/>
            <w:tcBorders>
              <w:top w:val="nil"/>
              <w:left w:val="nil"/>
              <w:bottom w:val="single" w:sz="4" w:space="0" w:color="auto"/>
              <w:right w:val="nil"/>
            </w:tcBorders>
            <w:shd w:val="clear" w:color="auto" w:fill="auto"/>
            <w:noWrap/>
            <w:vAlign w:val="center"/>
            <w:hideMark/>
          </w:tcPr>
          <w:p w14:paraId="45068274" w14:textId="77777777" w:rsidR="0088749A" w:rsidRPr="0088749A" w:rsidRDefault="0088749A" w:rsidP="0088749A">
            <w:pPr>
              <w:jc w:val="both"/>
              <w:rPr>
                <w:color w:val="000000"/>
                <w:sz w:val="20"/>
                <w:szCs w:val="20"/>
              </w:rPr>
            </w:pPr>
            <w:r w:rsidRPr="0088749A">
              <w:rPr>
                <w:color w:val="000000"/>
                <w:sz w:val="20"/>
                <w:szCs w:val="20"/>
              </w:rPr>
              <w:t>1469.28</w:t>
            </w:r>
          </w:p>
        </w:tc>
        <w:tc>
          <w:tcPr>
            <w:tcW w:w="757" w:type="dxa"/>
            <w:tcBorders>
              <w:top w:val="nil"/>
              <w:left w:val="nil"/>
              <w:bottom w:val="single" w:sz="4" w:space="0" w:color="auto"/>
              <w:right w:val="nil"/>
            </w:tcBorders>
            <w:shd w:val="clear" w:color="auto" w:fill="auto"/>
            <w:noWrap/>
            <w:vAlign w:val="center"/>
            <w:hideMark/>
          </w:tcPr>
          <w:p w14:paraId="25C78066" w14:textId="77777777" w:rsidR="0088749A" w:rsidRPr="0088749A" w:rsidRDefault="0088749A" w:rsidP="0088749A">
            <w:pPr>
              <w:jc w:val="both"/>
              <w:rPr>
                <w:color w:val="000000"/>
                <w:sz w:val="20"/>
                <w:szCs w:val="20"/>
              </w:rPr>
            </w:pPr>
            <w:r w:rsidRPr="0088749A">
              <w:rPr>
                <w:color w:val="000000"/>
                <w:sz w:val="20"/>
                <w:szCs w:val="20"/>
              </w:rPr>
              <w:t>12.69%</w:t>
            </w:r>
          </w:p>
        </w:tc>
        <w:tc>
          <w:tcPr>
            <w:tcW w:w="611" w:type="dxa"/>
            <w:tcBorders>
              <w:top w:val="nil"/>
              <w:left w:val="nil"/>
              <w:bottom w:val="single" w:sz="4" w:space="0" w:color="auto"/>
              <w:right w:val="nil"/>
            </w:tcBorders>
            <w:shd w:val="clear" w:color="auto" w:fill="auto"/>
            <w:noWrap/>
            <w:vAlign w:val="center"/>
            <w:hideMark/>
          </w:tcPr>
          <w:p w14:paraId="71957DE0" w14:textId="77777777" w:rsidR="0088749A" w:rsidRPr="0088749A" w:rsidRDefault="0088749A" w:rsidP="0088749A">
            <w:pPr>
              <w:jc w:val="both"/>
              <w:rPr>
                <w:color w:val="000000"/>
                <w:sz w:val="20"/>
                <w:szCs w:val="20"/>
              </w:rPr>
            </w:pPr>
            <w:r w:rsidRPr="0088749A">
              <w:rPr>
                <w:color w:val="000000"/>
                <w:sz w:val="20"/>
                <w:szCs w:val="20"/>
              </w:rPr>
              <w:t>-1.78</w:t>
            </w:r>
          </w:p>
        </w:tc>
      </w:tr>
      <w:tr w:rsidR="0088749A" w:rsidRPr="0088749A" w14:paraId="1FBB852E" w14:textId="77777777" w:rsidTr="0088749A">
        <w:trPr>
          <w:trHeight w:val="245"/>
        </w:trPr>
        <w:tc>
          <w:tcPr>
            <w:tcW w:w="1134" w:type="dxa"/>
            <w:tcBorders>
              <w:top w:val="nil"/>
              <w:left w:val="nil"/>
              <w:bottom w:val="single" w:sz="4" w:space="0" w:color="auto"/>
              <w:right w:val="nil"/>
            </w:tcBorders>
            <w:shd w:val="clear" w:color="auto" w:fill="auto"/>
            <w:noWrap/>
            <w:vAlign w:val="center"/>
            <w:hideMark/>
          </w:tcPr>
          <w:p w14:paraId="338F2DB0" w14:textId="77777777" w:rsidR="0088749A" w:rsidRPr="0088749A" w:rsidRDefault="0088749A" w:rsidP="0088749A">
            <w:pPr>
              <w:jc w:val="both"/>
              <w:rPr>
                <w:color w:val="000000"/>
                <w:sz w:val="20"/>
                <w:szCs w:val="20"/>
              </w:rPr>
            </w:pPr>
            <w:proofErr w:type="spellStart"/>
            <w:r w:rsidRPr="0088749A">
              <w:rPr>
                <w:color w:val="000000"/>
                <w:sz w:val="20"/>
                <w:szCs w:val="20"/>
                <w:lang w:val="en"/>
              </w:rPr>
              <w:t>XGBoost</w:t>
            </w:r>
            <w:proofErr w:type="spellEnd"/>
          </w:p>
        </w:tc>
        <w:tc>
          <w:tcPr>
            <w:tcW w:w="1041" w:type="dxa"/>
            <w:tcBorders>
              <w:top w:val="nil"/>
              <w:left w:val="nil"/>
              <w:bottom w:val="single" w:sz="4" w:space="0" w:color="auto"/>
              <w:right w:val="nil"/>
            </w:tcBorders>
            <w:shd w:val="clear" w:color="auto" w:fill="auto"/>
            <w:noWrap/>
            <w:vAlign w:val="center"/>
            <w:hideMark/>
          </w:tcPr>
          <w:p w14:paraId="16D88DE9" w14:textId="77777777" w:rsidR="0088749A" w:rsidRPr="0088749A" w:rsidRDefault="0088749A" w:rsidP="0088749A">
            <w:pPr>
              <w:jc w:val="both"/>
              <w:rPr>
                <w:color w:val="000000"/>
                <w:sz w:val="20"/>
                <w:szCs w:val="20"/>
              </w:rPr>
            </w:pPr>
            <w:r w:rsidRPr="0088749A">
              <w:rPr>
                <w:color w:val="000000"/>
                <w:sz w:val="20"/>
                <w:szCs w:val="20"/>
              </w:rPr>
              <w:t>238.18</w:t>
            </w:r>
          </w:p>
        </w:tc>
        <w:tc>
          <w:tcPr>
            <w:tcW w:w="786" w:type="dxa"/>
            <w:tcBorders>
              <w:top w:val="nil"/>
              <w:left w:val="nil"/>
              <w:bottom w:val="single" w:sz="4" w:space="0" w:color="auto"/>
              <w:right w:val="nil"/>
            </w:tcBorders>
            <w:shd w:val="clear" w:color="auto" w:fill="auto"/>
            <w:noWrap/>
            <w:vAlign w:val="center"/>
            <w:hideMark/>
          </w:tcPr>
          <w:p w14:paraId="0CC8D660" w14:textId="77777777" w:rsidR="0088749A" w:rsidRPr="0088749A" w:rsidRDefault="0088749A" w:rsidP="0088749A">
            <w:pPr>
              <w:jc w:val="both"/>
              <w:rPr>
                <w:color w:val="000000"/>
                <w:sz w:val="20"/>
                <w:szCs w:val="20"/>
              </w:rPr>
            </w:pPr>
            <w:r w:rsidRPr="0088749A">
              <w:rPr>
                <w:color w:val="000000"/>
                <w:sz w:val="20"/>
                <w:szCs w:val="20"/>
              </w:rPr>
              <w:t>325.87</w:t>
            </w:r>
          </w:p>
        </w:tc>
        <w:tc>
          <w:tcPr>
            <w:tcW w:w="757" w:type="dxa"/>
            <w:tcBorders>
              <w:top w:val="nil"/>
              <w:left w:val="nil"/>
              <w:bottom w:val="single" w:sz="4" w:space="0" w:color="auto"/>
              <w:right w:val="nil"/>
            </w:tcBorders>
            <w:shd w:val="clear" w:color="auto" w:fill="auto"/>
            <w:noWrap/>
            <w:vAlign w:val="center"/>
            <w:hideMark/>
          </w:tcPr>
          <w:p w14:paraId="0FD4D33B" w14:textId="77777777" w:rsidR="0088749A" w:rsidRPr="0088749A" w:rsidRDefault="0088749A" w:rsidP="0088749A">
            <w:pPr>
              <w:jc w:val="both"/>
              <w:rPr>
                <w:color w:val="000000"/>
                <w:sz w:val="20"/>
                <w:szCs w:val="20"/>
              </w:rPr>
            </w:pPr>
            <w:r w:rsidRPr="0088749A">
              <w:rPr>
                <w:color w:val="000000"/>
                <w:sz w:val="20"/>
                <w:szCs w:val="20"/>
              </w:rPr>
              <w:t>2.46%</w:t>
            </w:r>
          </w:p>
        </w:tc>
        <w:tc>
          <w:tcPr>
            <w:tcW w:w="611" w:type="dxa"/>
            <w:tcBorders>
              <w:top w:val="nil"/>
              <w:left w:val="nil"/>
              <w:bottom w:val="single" w:sz="4" w:space="0" w:color="auto"/>
              <w:right w:val="nil"/>
            </w:tcBorders>
            <w:shd w:val="clear" w:color="auto" w:fill="auto"/>
            <w:noWrap/>
            <w:vAlign w:val="center"/>
            <w:hideMark/>
          </w:tcPr>
          <w:p w14:paraId="72B8344E" w14:textId="77777777" w:rsidR="0088749A" w:rsidRPr="0088749A" w:rsidRDefault="0088749A" w:rsidP="0088749A">
            <w:pPr>
              <w:jc w:val="both"/>
              <w:rPr>
                <w:color w:val="000000"/>
                <w:sz w:val="20"/>
                <w:szCs w:val="20"/>
              </w:rPr>
            </w:pPr>
            <w:r w:rsidRPr="0088749A">
              <w:rPr>
                <w:color w:val="000000"/>
                <w:sz w:val="20"/>
                <w:szCs w:val="20"/>
              </w:rPr>
              <w:t>0.862</w:t>
            </w:r>
          </w:p>
        </w:tc>
      </w:tr>
      <w:tr w:rsidR="0088749A" w:rsidRPr="0088749A" w14:paraId="47945A51" w14:textId="77777777" w:rsidTr="0088749A">
        <w:trPr>
          <w:trHeight w:val="491"/>
        </w:trPr>
        <w:tc>
          <w:tcPr>
            <w:tcW w:w="1134" w:type="dxa"/>
            <w:tcBorders>
              <w:top w:val="nil"/>
              <w:left w:val="nil"/>
              <w:bottom w:val="single" w:sz="4" w:space="0" w:color="auto"/>
              <w:right w:val="nil"/>
            </w:tcBorders>
            <w:shd w:val="clear" w:color="auto" w:fill="auto"/>
            <w:noWrap/>
            <w:vAlign w:val="center"/>
            <w:hideMark/>
          </w:tcPr>
          <w:p w14:paraId="77F0FE77" w14:textId="77777777" w:rsidR="0088749A" w:rsidRPr="0088749A" w:rsidRDefault="0088749A" w:rsidP="0088749A">
            <w:pPr>
              <w:jc w:val="both"/>
              <w:rPr>
                <w:color w:val="000000"/>
                <w:sz w:val="20"/>
                <w:szCs w:val="20"/>
              </w:rPr>
            </w:pPr>
            <w:r w:rsidRPr="0088749A">
              <w:rPr>
                <w:color w:val="000000"/>
                <w:sz w:val="20"/>
                <w:szCs w:val="20"/>
                <w:lang w:val="en"/>
              </w:rPr>
              <w:t xml:space="preserve">Hybrid </w:t>
            </w:r>
            <w:proofErr w:type="spellStart"/>
            <w:r w:rsidRPr="0088749A">
              <w:rPr>
                <w:color w:val="000000"/>
                <w:sz w:val="20"/>
                <w:szCs w:val="20"/>
                <w:lang w:val="en"/>
              </w:rPr>
              <w:t>GRU+XGBoost</w:t>
            </w:r>
            <w:proofErr w:type="spellEnd"/>
          </w:p>
        </w:tc>
        <w:tc>
          <w:tcPr>
            <w:tcW w:w="1041" w:type="dxa"/>
            <w:tcBorders>
              <w:top w:val="nil"/>
              <w:left w:val="nil"/>
              <w:bottom w:val="single" w:sz="4" w:space="0" w:color="auto"/>
              <w:right w:val="nil"/>
            </w:tcBorders>
            <w:shd w:val="clear" w:color="auto" w:fill="auto"/>
            <w:noWrap/>
            <w:vAlign w:val="center"/>
            <w:hideMark/>
          </w:tcPr>
          <w:p w14:paraId="735F0361" w14:textId="77777777" w:rsidR="0088749A" w:rsidRPr="0088749A" w:rsidRDefault="0088749A" w:rsidP="0088749A">
            <w:pPr>
              <w:jc w:val="both"/>
              <w:rPr>
                <w:color w:val="000000"/>
                <w:sz w:val="20"/>
                <w:szCs w:val="20"/>
              </w:rPr>
            </w:pPr>
            <w:r w:rsidRPr="0088749A">
              <w:rPr>
                <w:color w:val="000000"/>
                <w:sz w:val="20"/>
                <w:szCs w:val="20"/>
              </w:rPr>
              <w:t>229.09</w:t>
            </w:r>
          </w:p>
        </w:tc>
        <w:tc>
          <w:tcPr>
            <w:tcW w:w="786" w:type="dxa"/>
            <w:tcBorders>
              <w:top w:val="nil"/>
              <w:left w:val="nil"/>
              <w:bottom w:val="single" w:sz="4" w:space="0" w:color="auto"/>
              <w:right w:val="nil"/>
            </w:tcBorders>
            <w:shd w:val="clear" w:color="auto" w:fill="auto"/>
            <w:noWrap/>
            <w:vAlign w:val="center"/>
            <w:hideMark/>
          </w:tcPr>
          <w:p w14:paraId="1F118CA9" w14:textId="77777777" w:rsidR="0088749A" w:rsidRPr="0088749A" w:rsidRDefault="0088749A" w:rsidP="0088749A">
            <w:pPr>
              <w:jc w:val="both"/>
              <w:rPr>
                <w:color w:val="000000"/>
                <w:sz w:val="20"/>
                <w:szCs w:val="20"/>
              </w:rPr>
            </w:pPr>
            <w:r w:rsidRPr="0088749A">
              <w:rPr>
                <w:color w:val="000000"/>
                <w:sz w:val="20"/>
                <w:szCs w:val="20"/>
              </w:rPr>
              <w:t>312.26</w:t>
            </w:r>
          </w:p>
        </w:tc>
        <w:tc>
          <w:tcPr>
            <w:tcW w:w="757" w:type="dxa"/>
            <w:tcBorders>
              <w:top w:val="nil"/>
              <w:left w:val="nil"/>
              <w:bottom w:val="single" w:sz="4" w:space="0" w:color="auto"/>
              <w:right w:val="nil"/>
            </w:tcBorders>
            <w:shd w:val="clear" w:color="auto" w:fill="auto"/>
            <w:noWrap/>
            <w:vAlign w:val="center"/>
            <w:hideMark/>
          </w:tcPr>
          <w:p w14:paraId="7F4E02F0" w14:textId="77777777" w:rsidR="0088749A" w:rsidRPr="0088749A" w:rsidRDefault="0088749A" w:rsidP="0088749A">
            <w:pPr>
              <w:jc w:val="both"/>
              <w:rPr>
                <w:color w:val="000000"/>
                <w:sz w:val="20"/>
                <w:szCs w:val="20"/>
              </w:rPr>
            </w:pPr>
            <w:r w:rsidRPr="0088749A">
              <w:rPr>
                <w:color w:val="000000"/>
                <w:sz w:val="20"/>
                <w:szCs w:val="20"/>
              </w:rPr>
              <w:t>2.37%</w:t>
            </w:r>
          </w:p>
        </w:tc>
        <w:tc>
          <w:tcPr>
            <w:tcW w:w="611" w:type="dxa"/>
            <w:tcBorders>
              <w:top w:val="nil"/>
              <w:left w:val="nil"/>
              <w:bottom w:val="single" w:sz="4" w:space="0" w:color="auto"/>
              <w:right w:val="nil"/>
            </w:tcBorders>
            <w:shd w:val="clear" w:color="auto" w:fill="auto"/>
            <w:noWrap/>
            <w:vAlign w:val="center"/>
            <w:hideMark/>
          </w:tcPr>
          <w:p w14:paraId="6ED39F54" w14:textId="77777777" w:rsidR="0088749A" w:rsidRPr="0088749A" w:rsidRDefault="0088749A" w:rsidP="0088749A">
            <w:pPr>
              <w:jc w:val="both"/>
              <w:rPr>
                <w:color w:val="000000"/>
                <w:sz w:val="20"/>
                <w:szCs w:val="20"/>
              </w:rPr>
            </w:pPr>
            <w:r w:rsidRPr="0088749A">
              <w:rPr>
                <w:color w:val="000000"/>
                <w:sz w:val="20"/>
                <w:szCs w:val="20"/>
              </w:rPr>
              <w:t>0.874</w:t>
            </w:r>
          </w:p>
        </w:tc>
      </w:tr>
    </w:tbl>
    <w:p w14:paraId="39AAAB20" w14:textId="77777777" w:rsidR="00B401AF" w:rsidRPr="00B401AF" w:rsidRDefault="00B401AF" w:rsidP="00B401AF">
      <w:pPr>
        <w:spacing w:after="120"/>
        <w:ind w:firstLine="360"/>
        <w:jc w:val="both"/>
        <w:rPr>
          <w:color w:val="000000"/>
          <w:sz w:val="20"/>
          <w:szCs w:val="20"/>
          <w:lang w:val="en"/>
        </w:rPr>
      </w:pPr>
    </w:p>
    <w:p w14:paraId="6373CCDB" w14:textId="77777777"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The GRU model produced the lowest performance, indicating difficulty in generalizing temporal patterns over long horizons. This is consistent with the behavior of recurrent neural networks when trained on volatile financial data with nonlinear fluctuations.</w:t>
      </w:r>
    </w:p>
    <w:p w14:paraId="0DCF755D" w14:textId="77777777"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 xml:space="preserve">In contrast, </w:t>
      </w:r>
      <w:proofErr w:type="spellStart"/>
      <w:r w:rsidRPr="00B401AF">
        <w:rPr>
          <w:color w:val="000000"/>
          <w:sz w:val="20"/>
          <w:szCs w:val="20"/>
          <w:lang w:val="en"/>
        </w:rPr>
        <w:t>XGBoost</w:t>
      </w:r>
      <w:proofErr w:type="spellEnd"/>
      <w:r w:rsidRPr="00B401AF">
        <w:rPr>
          <w:color w:val="000000"/>
          <w:sz w:val="20"/>
          <w:szCs w:val="20"/>
          <w:lang w:val="en"/>
        </w:rPr>
        <w:t xml:space="preserve"> achieved substantially lower MAE and RMSE, making it the strongest standalone baseline. Its ability to model nonlinear interactions among engineered technical indicators contributed to its predictive stability.</w:t>
      </w:r>
    </w:p>
    <w:p w14:paraId="3325FC6E" w14:textId="730A3635"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lastRenderedPageBreak/>
        <w:t>The Hybrid GRU</w:t>
      </w:r>
      <w:r>
        <w:rPr>
          <w:color w:val="000000"/>
          <w:sz w:val="20"/>
          <w:szCs w:val="20"/>
          <w:lang w:val="en"/>
        </w:rPr>
        <w:t>-</w:t>
      </w:r>
      <w:proofErr w:type="spellStart"/>
      <w:r w:rsidRPr="00B401AF">
        <w:rPr>
          <w:color w:val="000000"/>
          <w:sz w:val="20"/>
          <w:szCs w:val="20"/>
          <w:lang w:val="en"/>
        </w:rPr>
        <w:t>XGBoost</w:t>
      </w:r>
      <w:proofErr w:type="spellEnd"/>
      <w:r w:rsidRPr="00B401AF">
        <w:rPr>
          <w:color w:val="000000"/>
          <w:sz w:val="20"/>
          <w:szCs w:val="20"/>
          <w:lang w:val="en"/>
        </w:rPr>
        <w:t xml:space="preserve"> model outperformed both individual models across all evaluation metrics on the test set. Although the improvement over </w:t>
      </w:r>
      <w:proofErr w:type="spellStart"/>
      <w:r w:rsidRPr="00B401AF">
        <w:rPr>
          <w:color w:val="000000"/>
          <w:sz w:val="20"/>
          <w:szCs w:val="20"/>
          <w:lang w:val="en"/>
        </w:rPr>
        <w:t>XGBoost</w:t>
      </w:r>
      <w:proofErr w:type="spellEnd"/>
      <w:r w:rsidRPr="00B401AF">
        <w:rPr>
          <w:color w:val="000000"/>
          <w:sz w:val="20"/>
          <w:szCs w:val="20"/>
          <w:lang w:val="en"/>
        </w:rPr>
        <w:t xml:space="preserve"> is modest (MAE reduced by 3.81%, RMSE reduced by 4.18%), the hybrid strategy shows consistent enhancement and maintains the highest R² value (0.874). This indicates that incorporating sequential information from GRU predictions helped </w:t>
      </w:r>
      <w:proofErr w:type="spellStart"/>
      <w:r w:rsidRPr="00B401AF">
        <w:rPr>
          <w:color w:val="000000"/>
          <w:sz w:val="20"/>
          <w:szCs w:val="20"/>
          <w:lang w:val="en"/>
        </w:rPr>
        <w:t>XGBoost</w:t>
      </w:r>
      <w:proofErr w:type="spellEnd"/>
      <w:r w:rsidRPr="00B401AF">
        <w:rPr>
          <w:color w:val="000000"/>
          <w:sz w:val="20"/>
          <w:szCs w:val="20"/>
          <w:lang w:val="en"/>
        </w:rPr>
        <w:t xml:space="preserve"> refine the regression output.</w:t>
      </w:r>
    </w:p>
    <w:p w14:paraId="0350F530" w14:textId="77777777"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These results are similar to patterns observed in ensemble-based predictive studies where hybrid models outperform single architectures by combining complementary strengths.</w:t>
      </w:r>
    </w:p>
    <w:p w14:paraId="1106446D" w14:textId="58A654A3" w:rsidR="00B401AF" w:rsidRPr="00B401AF" w:rsidRDefault="00B401AF" w:rsidP="00B401AF">
      <w:pPr>
        <w:pStyle w:val="Heading2"/>
        <w:numPr>
          <w:ilvl w:val="0"/>
          <w:numId w:val="6"/>
        </w:numPr>
        <w:ind w:left="360"/>
        <w:rPr>
          <w:lang w:val="en-US"/>
        </w:rPr>
      </w:pPr>
      <w:r w:rsidRPr="00B401AF">
        <w:rPr>
          <w:lang w:val="en-US"/>
        </w:rPr>
        <w:t xml:space="preserve">Actual </w:t>
      </w:r>
      <w:proofErr w:type="spellStart"/>
      <w:r w:rsidRPr="00B401AF">
        <w:rPr>
          <w:lang w:val="en-US"/>
        </w:rPr>
        <w:t>vs</w:t>
      </w:r>
      <w:proofErr w:type="spellEnd"/>
      <w:r w:rsidRPr="00B401AF">
        <w:rPr>
          <w:lang w:val="en-US"/>
        </w:rPr>
        <w:t xml:space="preserve"> Predicted Visualization</w:t>
      </w:r>
    </w:p>
    <w:p w14:paraId="7D8FF964" w14:textId="77777777"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 xml:space="preserve">Figure 2 illustrates a comparison between actual BBCA closing prices and model predictions on the test set. </w:t>
      </w:r>
      <w:proofErr w:type="spellStart"/>
      <w:r w:rsidRPr="00B401AF">
        <w:rPr>
          <w:color w:val="000000"/>
          <w:sz w:val="20"/>
          <w:szCs w:val="20"/>
          <w:lang w:val="en"/>
        </w:rPr>
        <w:t>XGBoost</w:t>
      </w:r>
      <w:proofErr w:type="spellEnd"/>
      <w:r w:rsidRPr="00B401AF">
        <w:rPr>
          <w:color w:val="000000"/>
          <w:sz w:val="20"/>
          <w:szCs w:val="20"/>
          <w:lang w:val="en"/>
        </w:rPr>
        <w:t xml:space="preserve"> and the hybrid model show close alignment with real price movements, while the GRU model exhibits larger deviations.</w:t>
      </w:r>
    </w:p>
    <w:p w14:paraId="175F6AB7" w14:textId="6C05F52B" w:rsidR="00B401AF" w:rsidRPr="00B401AF" w:rsidRDefault="0088749A" w:rsidP="0088749A">
      <w:pPr>
        <w:spacing w:after="120"/>
        <w:jc w:val="both"/>
        <w:rPr>
          <w:color w:val="000000"/>
          <w:sz w:val="20"/>
          <w:szCs w:val="20"/>
          <w:lang w:val="en"/>
        </w:rPr>
      </w:pPr>
      <w:r>
        <w:rPr>
          <w:noProof/>
        </w:rPr>
        <w:drawing>
          <wp:inline distT="0" distB="0" distL="0" distR="0" wp14:anchorId="3B9B6197" wp14:editId="5878594E">
            <wp:extent cx="2680335" cy="1409700"/>
            <wp:effectExtent l="19050" t="19050" r="2476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9009" t="29581" r="22730" b="14339"/>
                    <a:stretch/>
                  </pic:blipFill>
                  <pic:spPr bwMode="auto">
                    <a:xfrm>
                      <a:off x="0" y="0"/>
                      <a:ext cx="2744552" cy="14434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8DABD9" w14:textId="77777777" w:rsidR="00B401AF" w:rsidRPr="00B401AF" w:rsidRDefault="00B401AF" w:rsidP="0088749A">
      <w:pPr>
        <w:spacing w:after="120"/>
        <w:ind w:firstLine="360"/>
        <w:jc w:val="center"/>
        <w:rPr>
          <w:color w:val="000000"/>
          <w:sz w:val="20"/>
          <w:szCs w:val="20"/>
          <w:lang w:val="en"/>
        </w:rPr>
      </w:pPr>
      <w:r w:rsidRPr="00B401AF">
        <w:rPr>
          <w:color w:val="000000"/>
          <w:sz w:val="20"/>
          <w:szCs w:val="20"/>
          <w:lang w:val="en"/>
        </w:rPr>
        <w:t xml:space="preserve">Figure 2. Actual </w:t>
      </w:r>
      <w:proofErr w:type="spellStart"/>
      <w:r w:rsidRPr="00B401AF">
        <w:rPr>
          <w:color w:val="000000"/>
          <w:sz w:val="20"/>
          <w:szCs w:val="20"/>
          <w:lang w:val="en"/>
        </w:rPr>
        <w:t>vs</w:t>
      </w:r>
      <w:proofErr w:type="spellEnd"/>
      <w:r w:rsidRPr="00B401AF">
        <w:rPr>
          <w:color w:val="000000"/>
          <w:sz w:val="20"/>
          <w:szCs w:val="20"/>
          <w:lang w:val="en"/>
        </w:rPr>
        <w:t xml:space="preserve"> Predicted Stock Prices on Test Data</w:t>
      </w:r>
    </w:p>
    <w:p w14:paraId="22B430CF" w14:textId="77777777"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The hybrid model not only tracks the directional movement more closely but also reduces error during volatility peaks, demonstrating improved robustness.</w:t>
      </w:r>
    </w:p>
    <w:p w14:paraId="0E2E276E" w14:textId="43CD4FEC" w:rsidR="00B401AF" w:rsidRPr="00B1595D" w:rsidRDefault="00B401AF" w:rsidP="00B1595D">
      <w:pPr>
        <w:pStyle w:val="Heading2"/>
        <w:numPr>
          <w:ilvl w:val="0"/>
          <w:numId w:val="6"/>
        </w:numPr>
        <w:ind w:left="360"/>
        <w:rPr>
          <w:lang w:val="en-US"/>
        </w:rPr>
      </w:pPr>
      <w:r w:rsidRPr="00B1595D">
        <w:rPr>
          <w:lang w:val="en-US"/>
        </w:rPr>
        <w:t xml:space="preserve">SHAP-Based </w:t>
      </w:r>
      <w:proofErr w:type="spellStart"/>
      <w:r w:rsidRPr="00B1595D">
        <w:rPr>
          <w:lang w:val="en-US"/>
        </w:rPr>
        <w:t>Explainability</w:t>
      </w:r>
      <w:proofErr w:type="spellEnd"/>
      <w:r w:rsidRPr="00B1595D">
        <w:rPr>
          <w:lang w:val="en-US"/>
        </w:rPr>
        <w:t xml:space="preserve"> Analysis</w:t>
      </w:r>
    </w:p>
    <w:p w14:paraId="163DDD6F" w14:textId="77777777" w:rsidR="00B401AF" w:rsidRPr="00B401AF" w:rsidRDefault="00B401AF" w:rsidP="00B401AF">
      <w:pPr>
        <w:spacing w:after="120"/>
        <w:ind w:firstLine="360"/>
        <w:jc w:val="both"/>
        <w:rPr>
          <w:color w:val="000000"/>
          <w:sz w:val="20"/>
          <w:szCs w:val="20"/>
          <w:lang w:val="en"/>
        </w:rPr>
      </w:pPr>
      <w:proofErr w:type="spellStart"/>
      <w:r w:rsidRPr="00B401AF">
        <w:rPr>
          <w:color w:val="000000"/>
          <w:sz w:val="20"/>
          <w:szCs w:val="20"/>
          <w:lang w:val="en"/>
        </w:rPr>
        <w:t>Explainability</w:t>
      </w:r>
      <w:proofErr w:type="spellEnd"/>
      <w:r w:rsidRPr="00B401AF">
        <w:rPr>
          <w:color w:val="000000"/>
          <w:sz w:val="20"/>
          <w:szCs w:val="20"/>
          <w:lang w:val="en"/>
        </w:rPr>
        <w:t xml:space="preserve"> is critical in financial forecasting, where model transparency aids investor trust and ensures that predictions align with logical market behavior. SHAP analysis was applied to the hybrid model to identify key contributing features.</w:t>
      </w:r>
    </w:p>
    <w:p w14:paraId="5E64A53E" w14:textId="7E9E1A27" w:rsidR="00B401AF" w:rsidRPr="00B401AF" w:rsidRDefault="0088749A" w:rsidP="00B401AF">
      <w:pPr>
        <w:spacing w:after="120"/>
        <w:ind w:firstLine="360"/>
        <w:jc w:val="both"/>
        <w:rPr>
          <w:color w:val="000000"/>
          <w:sz w:val="20"/>
          <w:szCs w:val="20"/>
          <w:lang w:val="en"/>
        </w:rPr>
      </w:pPr>
      <w:r>
        <w:rPr>
          <w:noProof/>
          <w:color w:val="000000"/>
          <w:sz w:val="20"/>
          <w:szCs w:val="20"/>
        </w:rPr>
        <w:drawing>
          <wp:inline distT="0" distB="0" distL="0" distR="0" wp14:anchorId="0E019D55" wp14:editId="1AC5DC19">
            <wp:extent cx="2743200" cy="2203450"/>
            <wp:effectExtent l="0" t="0" r="0" b="6350"/>
            <wp:docPr id="7" name="Picture 7" descr="D:\DISERTASI\dataset\bbca\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D:\DISERTASI\dataset\bbca\downloa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2203450"/>
                    </a:xfrm>
                    <a:prstGeom prst="rect">
                      <a:avLst/>
                    </a:prstGeom>
                    <a:noFill/>
                    <a:ln>
                      <a:noFill/>
                    </a:ln>
                  </pic:spPr>
                </pic:pic>
              </a:graphicData>
            </a:graphic>
          </wp:inline>
        </w:drawing>
      </w:r>
    </w:p>
    <w:p w14:paraId="56242505" w14:textId="77777777"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lastRenderedPageBreak/>
        <w:t>Figure 3 presents the SHAP summary plot showing the most influential features.</w:t>
      </w:r>
    </w:p>
    <w:p w14:paraId="43AD276E" w14:textId="2E5B6641" w:rsidR="00B401AF" w:rsidRPr="00B401AF" w:rsidRDefault="0088749A" w:rsidP="00B401AF">
      <w:pPr>
        <w:spacing w:after="120"/>
        <w:ind w:firstLine="360"/>
        <w:jc w:val="both"/>
        <w:rPr>
          <w:color w:val="000000"/>
          <w:sz w:val="20"/>
          <w:szCs w:val="20"/>
          <w:lang w:val="en"/>
        </w:rPr>
      </w:pPr>
      <w:r>
        <w:rPr>
          <w:noProof/>
          <w:color w:val="000000"/>
          <w:sz w:val="20"/>
          <w:szCs w:val="20"/>
        </w:rPr>
        <w:drawing>
          <wp:inline distT="0" distB="0" distL="0" distR="0" wp14:anchorId="5201AD60" wp14:editId="1ABF8B8B">
            <wp:extent cx="2743200" cy="1581150"/>
            <wp:effectExtent l="0" t="0" r="0" b="0"/>
            <wp:docPr id="8" name="Picture 8" descr="D:\DISERTASI\dataset\bbca\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DISERTASI\dataset\bbca\download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1581150"/>
                    </a:xfrm>
                    <a:prstGeom prst="rect">
                      <a:avLst/>
                    </a:prstGeom>
                    <a:noFill/>
                    <a:ln>
                      <a:noFill/>
                    </a:ln>
                  </pic:spPr>
                </pic:pic>
              </a:graphicData>
            </a:graphic>
          </wp:inline>
        </w:drawing>
      </w:r>
    </w:p>
    <w:p w14:paraId="64CE6F0A" w14:textId="1F7F7218" w:rsidR="00B401AF" w:rsidRPr="00B401AF" w:rsidRDefault="00B401AF" w:rsidP="00B1595D">
      <w:pPr>
        <w:spacing w:after="120"/>
        <w:ind w:firstLine="360"/>
        <w:jc w:val="center"/>
        <w:rPr>
          <w:color w:val="000000"/>
          <w:sz w:val="20"/>
          <w:szCs w:val="20"/>
          <w:lang w:val="en"/>
        </w:rPr>
      </w:pPr>
      <w:r w:rsidRPr="00B401AF">
        <w:rPr>
          <w:color w:val="000000"/>
          <w:sz w:val="20"/>
          <w:szCs w:val="20"/>
          <w:lang w:val="en"/>
        </w:rPr>
        <w:t xml:space="preserve">Figure </w:t>
      </w:r>
      <w:r w:rsidR="0088749A">
        <w:rPr>
          <w:color w:val="000000"/>
          <w:sz w:val="20"/>
          <w:szCs w:val="20"/>
          <w:lang w:val="en"/>
        </w:rPr>
        <w:t>4</w:t>
      </w:r>
      <w:r w:rsidRPr="00B401AF">
        <w:rPr>
          <w:color w:val="000000"/>
          <w:sz w:val="20"/>
          <w:szCs w:val="20"/>
          <w:lang w:val="en"/>
        </w:rPr>
        <w:t>. SHAP Summary Plot of Feature Contributions</w:t>
      </w:r>
    </w:p>
    <w:p w14:paraId="40756F97" w14:textId="77777777" w:rsidR="00B1595D" w:rsidRDefault="00B1595D" w:rsidP="00B401AF">
      <w:pPr>
        <w:spacing w:after="120"/>
        <w:ind w:firstLine="360"/>
        <w:jc w:val="both"/>
        <w:rPr>
          <w:color w:val="000000"/>
          <w:sz w:val="20"/>
          <w:szCs w:val="20"/>
        </w:rPr>
      </w:pPr>
      <w:r w:rsidRPr="00B1595D">
        <w:rPr>
          <w:bCs/>
          <w:color w:val="000000"/>
          <w:sz w:val="20"/>
          <w:szCs w:val="20"/>
        </w:rPr>
        <w:t>Figure 3 presents the SHAP dependence analysis for the MA20 feature, illustrating its marginal effect on the hybrid model’s output.</w:t>
      </w:r>
      <w:r w:rsidRPr="00B1595D">
        <w:rPr>
          <w:color w:val="000000"/>
          <w:sz w:val="20"/>
          <w:szCs w:val="20"/>
        </w:rPr>
        <w:t xml:space="preserve"> The plot reveals a strong positive monotonic relationship, where higher MA20 values correspond to increasingly positive SHAP contributions, indicating upward pressure on the predicted closing price. The color gradient representing </w:t>
      </w:r>
      <w:proofErr w:type="spellStart"/>
      <w:r w:rsidRPr="00B1595D">
        <w:rPr>
          <w:i/>
          <w:iCs/>
          <w:color w:val="000000"/>
          <w:sz w:val="20"/>
          <w:szCs w:val="20"/>
        </w:rPr>
        <w:t>pred_gru</w:t>
      </w:r>
      <w:proofErr w:type="spellEnd"/>
      <w:r w:rsidRPr="00B1595D">
        <w:rPr>
          <w:color w:val="000000"/>
          <w:sz w:val="20"/>
          <w:szCs w:val="20"/>
        </w:rPr>
        <w:t xml:space="preserve"> highlights the interaction between medium-term trend signals and sequence-derived information. Observations with higher GRU-based predictions consistently exhibit larger SHAP values, confirming that the hybrid model leverages temporal dynamics to refine trend-based forecasting behavior</w:t>
      </w:r>
    </w:p>
    <w:p w14:paraId="598D8B82" w14:textId="1B17F47E" w:rsidR="00B1595D" w:rsidRDefault="00B1595D" w:rsidP="00B401AF">
      <w:pPr>
        <w:spacing w:after="120"/>
        <w:ind w:firstLine="360"/>
        <w:jc w:val="both"/>
        <w:rPr>
          <w:color w:val="000000"/>
          <w:sz w:val="20"/>
          <w:szCs w:val="20"/>
        </w:rPr>
      </w:pPr>
      <w:r w:rsidRPr="00B1595D">
        <w:rPr>
          <w:color w:val="000000"/>
          <w:sz w:val="20"/>
          <w:szCs w:val="20"/>
        </w:rPr>
        <w:t>Figure 4 displays the global SHAP summary plot, ranking all input features by their overall contribution to the hybrid GRU</w:t>
      </w:r>
      <w:r>
        <w:rPr>
          <w:color w:val="000000"/>
          <w:sz w:val="20"/>
          <w:szCs w:val="20"/>
        </w:rPr>
        <w:t>-</w:t>
      </w:r>
      <w:proofErr w:type="spellStart"/>
      <w:r w:rsidRPr="00B1595D">
        <w:rPr>
          <w:color w:val="000000"/>
          <w:sz w:val="20"/>
          <w:szCs w:val="20"/>
        </w:rPr>
        <w:t>XGBoost</w:t>
      </w:r>
      <w:proofErr w:type="spellEnd"/>
      <w:r w:rsidRPr="00B1595D">
        <w:rPr>
          <w:color w:val="000000"/>
          <w:sz w:val="20"/>
          <w:szCs w:val="20"/>
        </w:rPr>
        <w:t xml:space="preserve"> model. Price-based variables (Close, High, </w:t>
      </w:r>
      <w:proofErr w:type="gramStart"/>
      <w:r w:rsidRPr="00B1595D">
        <w:rPr>
          <w:color w:val="000000"/>
          <w:sz w:val="20"/>
          <w:szCs w:val="20"/>
        </w:rPr>
        <w:t>Low</w:t>
      </w:r>
      <w:proofErr w:type="gramEnd"/>
      <w:r w:rsidRPr="00B1595D">
        <w:rPr>
          <w:color w:val="000000"/>
          <w:sz w:val="20"/>
          <w:szCs w:val="20"/>
        </w:rPr>
        <w:t xml:space="preserve">) dominate the importance spectrum, reflecting their central role in capturing short-term market movements. Technical indicators such as MA5, RSI14, MACD, and Bollinger Bands provide additional nonlinear signals related to momentum and volatility. The </w:t>
      </w:r>
      <w:proofErr w:type="spellStart"/>
      <w:r w:rsidRPr="00B1595D">
        <w:rPr>
          <w:color w:val="000000"/>
          <w:sz w:val="20"/>
          <w:szCs w:val="20"/>
        </w:rPr>
        <w:t>pred_gru</w:t>
      </w:r>
      <w:proofErr w:type="spellEnd"/>
      <w:r w:rsidRPr="00B1595D">
        <w:rPr>
          <w:color w:val="000000"/>
          <w:sz w:val="20"/>
          <w:szCs w:val="20"/>
        </w:rPr>
        <w:t xml:space="preserve"> feature exhibits meaningful positive impact, demonstrating that sequential representations extracted by the GRU module enhance the model’s regression capability. The SHAP value dispersion across features indicates stable and interpretable model behavior, with feature contributions aligning with established financial reasoning.</w:t>
      </w:r>
    </w:p>
    <w:p w14:paraId="73D1FEBE" w14:textId="77777777" w:rsidR="00B401AF" w:rsidRPr="00B401AF" w:rsidRDefault="00B401AF" w:rsidP="00B1595D">
      <w:pPr>
        <w:spacing w:after="120"/>
        <w:jc w:val="both"/>
        <w:rPr>
          <w:color w:val="000000"/>
          <w:sz w:val="20"/>
          <w:szCs w:val="20"/>
          <w:lang w:val="en"/>
        </w:rPr>
      </w:pPr>
      <w:r w:rsidRPr="00B401AF">
        <w:rPr>
          <w:color w:val="000000"/>
          <w:sz w:val="20"/>
          <w:szCs w:val="20"/>
          <w:lang w:val="en"/>
        </w:rPr>
        <w:t>The top features influencing predictions include:</w:t>
      </w:r>
    </w:p>
    <w:p w14:paraId="2E46CCCB" w14:textId="28384B8F" w:rsidR="00B1595D" w:rsidRPr="00B1595D" w:rsidRDefault="00B1595D" w:rsidP="00B1595D">
      <w:pPr>
        <w:numPr>
          <w:ilvl w:val="0"/>
          <w:numId w:val="17"/>
        </w:numPr>
        <w:spacing w:after="120"/>
        <w:jc w:val="both"/>
        <w:rPr>
          <w:color w:val="000000"/>
          <w:sz w:val="20"/>
          <w:szCs w:val="20"/>
        </w:rPr>
      </w:pPr>
      <w:r w:rsidRPr="00B1595D">
        <w:rPr>
          <w:bCs/>
          <w:color w:val="000000"/>
          <w:sz w:val="20"/>
          <w:szCs w:val="20"/>
        </w:rPr>
        <w:t>MA20 and MA10</w:t>
      </w:r>
      <w:r w:rsidRPr="00B1595D">
        <w:rPr>
          <w:color w:val="000000"/>
          <w:sz w:val="20"/>
          <w:szCs w:val="20"/>
        </w:rPr>
        <w:t xml:space="preserve"> </w:t>
      </w:r>
      <w:r>
        <w:rPr>
          <w:color w:val="000000"/>
          <w:sz w:val="20"/>
          <w:szCs w:val="20"/>
        </w:rPr>
        <w:t>-</w:t>
      </w:r>
      <w:r w:rsidRPr="00B1595D">
        <w:rPr>
          <w:color w:val="000000"/>
          <w:sz w:val="20"/>
          <w:szCs w:val="20"/>
        </w:rPr>
        <w:t xml:space="preserve"> Medium-term trend indicators significantly shaped the stock price estimation.</w:t>
      </w:r>
    </w:p>
    <w:p w14:paraId="6D2B6554" w14:textId="2433E225" w:rsidR="00B1595D" w:rsidRPr="00B1595D" w:rsidRDefault="00B1595D" w:rsidP="00B1595D">
      <w:pPr>
        <w:numPr>
          <w:ilvl w:val="0"/>
          <w:numId w:val="17"/>
        </w:numPr>
        <w:spacing w:after="120"/>
        <w:jc w:val="both"/>
        <w:rPr>
          <w:color w:val="000000"/>
          <w:sz w:val="20"/>
          <w:szCs w:val="20"/>
        </w:rPr>
      </w:pPr>
      <w:r w:rsidRPr="00B1595D">
        <w:rPr>
          <w:bCs/>
          <w:color w:val="000000"/>
          <w:sz w:val="20"/>
          <w:szCs w:val="20"/>
        </w:rPr>
        <w:t>RSI14</w:t>
      </w:r>
      <w:r>
        <w:rPr>
          <w:bCs/>
          <w:color w:val="000000"/>
          <w:sz w:val="20"/>
          <w:szCs w:val="20"/>
        </w:rPr>
        <w:t xml:space="preserve"> </w:t>
      </w:r>
      <w:r>
        <w:rPr>
          <w:color w:val="000000"/>
          <w:sz w:val="20"/>
          <w:szCs w:val="20"/>
        </w:rPr>
        <w:t>-</w:t>
      </w:r>
      <w:r w:rsidRPr="00B1595D">
        <w:rPr>
          <w:color w:val="000000"/>
          <w:sz w:val="20"/>
          <w:szCs w:val="20"/>
        </w:rPr>
        <w:t xml:space="preserve"> Momentum changes and overbought/oversold signals impacted predicted movements.</w:t>
      </w:r>
    </w:p>
    <w:p w14:paraId="34DB42B3" w14:textId="60E20EEB" w:rsidR="00B1595D" w:rsidRPr="00B1595D" w:rsidRDefault="00B1595D" w:rsidP="00B1595D">
      <w:pPr>
        <w:numPr>
          <w:ilvl w:val="0"/>
          <w:numId w:val="17"/>
        </w:numPr>
        <w:spacing w:after="120"/>
        <w:jc w:val="both"/>
        <w:rPr>
          <w:color w:val="000000"/>
          <w:sz w:val="20"/>
          <w:szCs w:val="20"/>
        </w:rPr>
      </w:pPr>
      <w:r w:rsidRPr="00B1595D">
        <w:rPr>
          <w:bCs/>
          <w:color w:val="000000"/>
          <w:sz w:val="20"/>
          <w:szCs w:val="20"/>
        </w:rPr>
        <w:t>MACD and MACD Signal</w:t>
      </w:r>
      <w:r w:rsidRPr="00B1595D">
        <w:rPr>
          <w:color w:val="000000"/>
          <w:sz w:val="20"/>
          <w:szCs w:val="20"/>
        </w:rPr>
        <w:t xml:space="preserve"> </w:t>
      </w:r>
      <w:r>
        <w:rPr>
          <w:color w:val="000000"/>
          <w:sz w:val="20"/>
          <w:szCs w:val="20"/>
        </w:rPr>
        <w:t>-</w:t>
      </w:r>
      <w:r w:rsidRPr="00B1595D">
        <w:rPr>
          <w:color w:val="000000"/>
          <w:sz w:val="20"/>
          <w:szCs w:val="20"/>
        </w:rPr>
        <w:t xml:space="preserve"> Captured trend reversals and momentum divergence.</w:t>
      </w:r>
    </w:p>
    <w:p w14:paraId="5A9A982E" w14:textId="09A42919" w:rsidR="00B1595D" w:rsidRPr="00B1595D" w:rsidRDefault="00B1595D" w:rsidP="00B1595D">
      <w:pPr>
        <w:numPr>
          <w:ilvl w:val="0"/>
          <w:numId w:val="17"/>
        </w:numPr>
        <w:spacing w:after="120"/>
        <w:jc w:val="both"/>
        <w:rPr>
          <w:color w:val="000000"/>
          <w:sz w:val="20"/>
          <w:szCs w:val="20"/>
        </w:rPr>
      </w:pPr>
      <w:r w:rsidRPr="00B1595D">
        <w:rPr>
          <w:bCs/>
          <w:color w:val="000000"/>
          <w:sz w:val="20"/>
          <w:szCs w:val="20"/>
        </w:rPr>
        <w:lastRenderedPageBreak/>
        <w:t>GRU Prediction Feature</w:t>
      </w:r>
      <w:r w:rsidRPr="00B1595D">
        <w:rPr>
          <w:color w:val="000000"/>
          <w:sz w:val="20"/>
          <w:szCs w:val="20"/>
        </w:rPr>
        <w:t xml:space="preserve"> </w:t>
      </w:r>
      <w:r>
        <w:rPr>
          <w:color w:val="000000"/>
          <w:sz w:val="20"/>
          <w:szCs w:val="20"/>
        </w:rPr>
        <w:t>-</w:t>
      </w:r>
      <w:r w:rsidRPr="00B1595D">
        <w:rPr>
          <w:color w:val="000000"/>
          <w:sz w:val="20"/>
          <w:szCs w:val="20"/>
        </w:rPr>
        <w:t xml:space="preserve"> Contributed positively by providing sequence-aware information.</w:t>
      </w:r>
    </w:p>
    <w:p w14:paraId="77CCFDAA" w14:textId="3CD1D361" w:rsidR="00B1595D" w:rsidRPr="00B1595D" w:rsidRDefault="00B1595D" w:rsidP="00B1595D">
      <w:pPr>
        <w:numPr>
          <w:ilvl w:val="0"/>
          <w:numId w:val="17"/>
        </w:numPr>
        <w:spacing w:after="120"/>
        <w:jc w:val="both"/>
        <w:rPr>
          <w:color w:val="000000"/>
          <w:sz w:val="20"/>
          <w:szCs w:val="20"/>
        </w:rPr>
      </w:pPr>
      <w:r w:rsidRPr="00B1595D">
        <w:rPr>
          <w:bCs/>
          <w:color w:val="000000"/>
          <w:sz w:val="20"/>
          <w:szCs w:val="20"/>
        </w:rPr>
        <w:t>Bollinger Bands</w:t>
      </w:r>
      <w:r w:rsidRPr="00B1595D">
        <w:rPr>
          <w:color w:val="000000"/>
          <w:sz w:val="20"/>
          <w:szCs w:val="20"/>
        </w:rPr>
        <w:t xml:space="preserve"> </w:t>
      </w:r>
      <w:r>
        <w:rPr>
          <w:color w:val="000000"/>
          <w:sz w:val="20"/>
          <w:szCs w:val="20"/>
        </w:rPr>
        <w:t>-</w:t>
      </w:r>
      <w:r w:rsidRPr="00B1595D">
        <w:rPr>
          <w:color w:val="000000"/>
          <w:sz w:val="20"/>
          <w:szCs w:val="20"/>
        </w:rPr>
        <w:t xml:space="preserve"> Reflected volatility levels and relative price positioning.</w:t>
      </w:r>
    </w:p>
    <w:p w14:paraId="135A1D7C" w14:textId="77777777"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The presence of both GRU-based and technical indicators in the top contributors supports the effectiveness of hybrid modeling. SHAP dependence plots further show how increases or decreases in specific indicators correlate with predicted price movement direction.</w:t>
      </w:r>
    </w:p>
    <w:p w14:paraId="79D00B63" w14:textId="31D0FFAB" w:rsidR="00B401AF" w:rsidRPr="0088749A" w:rsidRDefault="00B401AF" w:rsidP="0088749A">
      <w:pPr>
        <w:pStyle w:val="Heading2"/>
        <w:numPr>
          <w:ilvl w:val="0"/>
          <w:numId w:val="6"/>
        </w:numPr>
        <w:ind w:left="360"/>
        <w:rPr>
          <w:lang w:val="en-US"/>
        </w:rPr>
      </w:pPr>
      <w:r w:rsidRPr="0088749A">
        <w:rPr>
          <w:lang w:val="en-US"/>
        </w:rPr>
        <w:t>Discussion</w:t>
      </w:r>
    </w:p>
    <w:p w14:paraId="063DE8F4" w14:textId="0378DDD5" w:rsidR="00B401AF" w:rsidRPr="00B401AF" w:rsidRDefault="00B401AF" w:rsidP="00B401AF">
      <w:pPr>
        <w:spacing w:after="120"/>
        <w:ind w:firstLine="360"/>
        <w:jc w:val="both"/>
        <w:rPr>
          <w:color w:val="000000"/>
          <w:sz w:val="20"/>
          <w:szCs w:val="20"/>
          <w:lang w:val="en"/>
        </w:rPr>
      </w:pPr>
      <w:r w:rsidRPr="00B401AF">
        <w:rPr>
          <w:color w:val="000000"/>
          <w:sz w:val="20"/>
          <w:szCs w:val="20"/>
          <w:lang w:val="en"/>
        </w:rPr>
        <w:t>The results demonstrate that the hybrid GRU</w:t>
      </w:r>
      <w:r>
        <w:rPr>
          <w:color w:val="000000"/>
          <w:sz w:val="20"/>
          <w:szCs w:val="20"/>
          <w:lang w:val="en"/>
        </w:rPr>
        <w:t>-</w:t>
      </w:r>
      <w:proofErr w:type="spellStart"/>
      <w:r w:rsidRPr="00B401AF">
        <w:rPr>
          <w:color w:val="000000"/>
          <w:sz w:val="20"/>
          <w:szCs w:val="20"/>
          <w:lang w:val="en"/>
        </w:rPr>
        <w:t>XGBoost</w:t>
      </w:r>
      <w:proofErr w:type="spellEnd"/>
      <w:r w:rsidRPr="00B401AF">
        <w:rPr>
          <w:color w:val="000000"/>
          <w:sz w:val="20"/>
          <w:szCs w:val="20"/>
          <w:lang w:val="en"/>
        </w:rPr>
        <w:t xml:space="preserve"> architecture offers meaningful advantages over individual models. The GRU model alone was insufficient due to difficulty in capturing nonlinear temporal patterns, while </w:t>
      </w:r>
      <w:proofErr w:type="spellStart"/>
      <w:r w:rsidRPr="00B401AF">
        <w:rPr>
          <w:color w:val="000000"/>
          <w:sz w:val="20"/>
          <w:szCs w:val="20"/>
          <w:lang w:val="en"/>
        </w:rPr>
        <w:t>XGBoost</w:t>
      </w:r>
      <w:proofErr w:type="spellEnd"/>
      <w:r w:rsidRPr="00B401AF">
        <w:rPr>
          <w:color w:val="000000"/>
          <w:sz w:val="20"/>
          <w:szCs w:val="20"/>
          <w:lang w:val="en"/>
        </w:rPr>
        <w:t xml:space="preserve"> provided strong tabular modeling capabilities but lacked sequential context. Combining both produced improved accuracy while maintaining interpretability.</w:t>
      </w:r>
    </w:p>
    <w:p w14:paraId="101E9449" w14:textId="77777777" w:rsidR="00B401AF" w:rsidRPr="00B401AF" w:rsidRDefault="00B401AF" w:rsidP="00B401AF">
      <w:pPr>
        <w:spacing w:after="120"/>
        <w:ind w:firstLine="360"/>
        <w:jc w:val="both"/>
        <w:rPr>
          <w:color w:val="000000"/>
          <w:sz w:val="20"/>
          <w:szCs w:val="20"/>
          <w:lang w:val="en"/>
        </w:rPr>
      </w:pPr>
    </w:p>
    <w:p w14:paraId="201E25A9" w14:textId="002B7E7A" w:rsidR="00B401AF" w:rsidRDefault="00B401AF" w:rsidP="00B401AF">
      <w:pPr>
        <w:spacing w:after="120"/>
        <w:ind w:firstLine="360"/>
        <w:jc w:val="both"/>
        <w:rPr>
          <w:color w:val="000000"/>
          <w:sz w:val="20"/>
          <w:szCs w:val="20"/>
          <w:lang w:val="en"/>
        </w:rPr>
      </w:pPr>
      <w:r w:rsidRPr="00B401AF">
        <w:rPr>
          <w:color w:val="000000"/>
          <w:sz w:val="20"/>
          <w:szCs w:val="20"/>
          <w:lang w:val="en"/>
        </w:rPr>
        <w:t>The SHAP analysis confirmed that the hybrid model relies on economically meaningful indicators, aligning with real-world financial reasoning. This enhances the model’s credibility for practical forecasting applications.</w:t>
      </w:r>
    </w:p>
    <w:p w14:paraId="736B8ECD" w14:textId="454BDEB7" w:rsidR="008B3AF1" w:rsidRDefault="008B3AF1" w:rsidP="008B3AF1">
      <w:pPr>
        <w:pStyle w:val="Heading1"/>
        <w:spacing w:before="120"/>
        <w:rPr>
          <w:lang w:val="en-US"/>
        </w:rPr>
      </w:pPr>
      <w:bookmarkStart w:id="8" w:name="_Hlk123027755"/>
      <w:bookmarkEnd w:id="7"/>
      <w:r>
        <w:rPr>
          <w:lang w:val="en-US"/>
        </w:rPr>
        <w:t>CONCLUSION</w:t>
      </w:r>
      <w:bookmarkEnd w:id="8"/>
    </w:p>
    <w:p w14:paraId="626A602A" w14:textId="77777777" w:rsidR="00B1595D" w:rsidRPr="00B1595D" w:rsidRDefault="00B1595D" w:rsidP="00B1595D">
      <w:pPr>
        <w:ind w:firstLine="360"/>
        <w:jc w:val="both"/>
        <w:rPr>
          <w:sz w:val="20"/>
          <w:szCs w:val="20"/>
        </w:rPr>
      </w:pPr>
      <w:bookmarkStart w:id="9" w:name="_Hlk149122333"/>
      <w:r w:rsidRPr="00B1595D">
        <w:rPr>
          <w:sz w:val="20"/>
          <w:szCs w:val="20"/>
        </w:rPr>
        <w:t xml:space="preserve">This study proposed a hybrid forecasting framework integrating GRU-based sequential learning with </w:t>
      </w:r>
      <w:proofErr w:type="spellStart"/>
      <w:r w:rsidRPr="00B1595D">
        <w:rPr>
          <w:sz w:val="20"/>
          <w:szCs w:val="20"/>
        </w:rPr>
        <w:t>XGBoost</w:t>
      </w:r>
      <w:proofErr w:type="spellEnd"/>
      <w:r w:rsidRPr="00B1595D">
        <w:rPr>
          <w:sz w:val="20"/>
          <w:szCs w:val="20"/>
        </w:rPr>
        <w:t xml:space="preserve"> regression to predict the daily closing price of BBCA stock. Three models—GRU, </w:t>
      </w:r>
      <w:proofErr w:type="spellStart"/>
      <w:r w:rsidRPr="00B1595D">
        <w:rPr>
          <w:sz w:val="20"/>
          <w:szCs w:val="20"/>
        </w:rPr>
        <w:t>XGBoost</w:t>
      </w:r>
      <w:proofErr w:type="spellEnd"/>
      <w:r w:rsidRPr="00B1595D">
        <w:rPr>
          <w:sz w:val="20"/>
          <w:szCs w:val="20"/>
        </w:rPr>
        <w:t>, and the hybrid GRU–</w:t>
      </w:r>
      <w:proofErr w:type="spellStart"/>
      <w:r w:rsidRPr="00B1595D">
        <w:rPr>
          <w:sz w:val="20"/>
          <w:szCs w:val="20"/>
        </w:rPr>
        <w:t>XGBoost</w:t>
      </w:r>
      <w:proofErr w:type="spellEnd"/>
      <w:r w:rsidRPr="00B1595D">
        <w:rPr>
          <w:sz w:val="20"/>
          <w:szCs w:val="20"/>
        </w:rPr>
        <w:t xml:space="preserve">—were evaluated using MAE, RMSE, MAPE, and R² metrics on an 80:20 chronological split. The results demonstrate that the standalone GRU model struggled to generalize on volatile financial time series, while </w:t>
      </w:r>
      <w:proofErr w:type="spellStart"/>
      <w:r w:rsidRPr="00B1595D">
        <w:rPr>
          <w:sz w:val="20"/>
          <w:szCs w:val="20"/>
        </w:rPr>
        <w:t>XGBoost</w:t>
      </w:r>
      <w:proofErr w:type="spellEnd"/>
      <w:r w:rsidRPr="00B1595D">
        <w:rPr>
          <w:sz w:val="20"/>
          <w:szCs w:val="20"/>
        </w:rPr>
        <w:t xml:space="preserve"> delivered substantially stronger predictive performance on engineered technical indicators. The hybrid model achieved the best overall results, yielding improvements over </w:t>
      </w:r>
      <w:proofErr w:type="spellStart"/>
      <w:r w:rsidRPr="00B1595D">
        <w:rPr>
          <w:sz w:val="20"/>
          <w:szCs w:val="20"/>
        </w:rPr>
        <w:t>XGBoost</w:t>
      </w:r>
      <w:proofErr w:type="spellEnd"/>
      <w:r w:rsidRPr="00B1595D">
        <w:rPr>
          <w:sz w:val="20"/>
          <w:szCs w:val="20"/>
        </w:rPr>
        <w:t xml:space="preserve"> across all evaluation metrics and exhibiting enhanced robustness in capturing trend and momentum fluctuations.</w:t>
      </w:r>
    </w:p>
    <w:p w14:paraId="3A3E1B58" w14:textId="77777777" w:rsidR="00B1595D" w:rsidRPr="00B1595D" w:rsidRDefault="00B1595D" w:rsidP="00B1595D">
      <w:pPr>
        <w:ind w:firstLine="360"/>
        <w:jc w:val="both"/>
        <w:rPr>
          <w:sz w:val="20"/>
          <w:szCs w:val="20"/>
        </w:rPr>
      </w:pPr>
      <w:r w:rsidRPr="00B1595D">
        <w:rPr>
          <w:sz w:val="20"/>
          <w:szCs w:val="20"/>
        </w:rPr>
        <w:t xml:space="preserve">The SHAP-based </w:t>
      </w:r>
      <w:proofErr w:type="spellStart"/>
      <w:r w:rsidRPr="00B1595D">
        <w:rPr>
          <w:sz w:val="20"/>
          <w:szCs w:val="20"/>
        </w:rPr>
        <w:t>explainability</w:t>
      </w:r>
      <w:proofErr w:type="spellEnd"/>
      <w:r w:rsidRPr="00B1595D">
        <w:rPr>
          <w:sz w:val="20"/>
          <w:szCs w:val="20"/>
        </w:rPr>
        <w:t xml:space="preserve"> analysis further revealed that both price-based features (Close, High, </w:t>
      </w:r>
      <w:proofErr w:type="gramStart"/>
      <w:r w:rsidRPr="00B1595D">
        <w:rPr>
          <w:sz w:val="20"/>
          <w:szCs w:val="20"/>
        </w:rPr>
        <w:t>Low</w:t>
      </w:r>
      <w:proofErr w:type="gramEnd"/>
      <w:r w:rsidRPr="00B1595D">
        <w:rPr>
          <w:sz w:val="20"/>
          <w:szCs w:val="20"/>
        </w:rPr>
        <w:t>) and technical indicators (MA5, RSI14, MACD, and Bollinger Bands) play significant roles in shaping model predictions. The GRU-derived sequential feature also contributed meaningfully to the hybrid model’s performance, indicating the effectiveness of combining temporal and nonlinear tabular representations. These findings confirm that the proposed hybrid approach provides a balanced integration of accuracy and interpretability, making it suitable for practical financial forecasting applications.</w:t>
      </w:r>
    </w:p>
    <w:p w14:paraId="152C4F74" w14:textId="0B24E950" w:rsidR="0013621D" w:rsidRPr="0013621D" w:rsidRDefault="00B1595D" w:rsidP="00B1595D">
      <w:pPr>
        <w:ind w:firstLine="360"/>
        <w:jc w:val="both"/>
        <w:rPr>
          <w:sz w:val="20"/>
          <w:szCs w:val="20"/>
        </w:rPr>
      </w:pPr>
      <w:r w:rsidRPr="00B1595D">
        <w:rPr>
          <w:sz w:val="20"/>
          <w:szCs w:val="20"/>
        </w:rPr>
        <w:lastRenderedPageBreak/>
        <w:t>Future work may extend this study by incorporating additional data sources such as macroeconomic indicators, multi-stock relationships, or sentiment features derived from financial news and social media. Exploring alternative deep learning architectures or transformer-based sequence models may also enhance predictive stability under high-volatility market conditions</w:t>
      </w:r>
      <w:proofErr w:type="gramStart"/>
      <w:r w:rsidRPr="00B1595D">
        <w:rPr>
          <w:sz w:val="20"/>
          <w:szCs w:val="20"/>
        </w:rPr>
        <w:t>.</w:t>
      </w:r>
      <w:r w:rsidR="0013621D" w:rsidRPr="0013621D">
        <w:rPr>
          <w:sz w:val="20"/>
          <w:szCs w:val="20"/>
        </w:rPr>
        <w:t>.</w:t>
      </w:r>
      <w:proofErr w:type="gramEnd"/>
    </w:p>
    <w:bookmarkEnd w:id="9"/>
    <w:p w14:paraId="278B560A" w14:textId="0F3DE994" w:rsidR="008B3AF1" w:rsidRDefault="008B3AF1" w:rsidP="008B3AF1">
      <w:pPr>
        <w:pStyle w:val="WAYANFigure"/>
        <w:spacing w:before="0" w:line="240" w:lineRule="auto"/>
        <w:jc w:val="left"/>
        <w:rPr>
          <w:rFonts w:ascii="Times New Roman" w:hAnsi="Times New Roman"/>
          <w:sz w:val="16"/>
          <w:szCs w:val="16"/>
          <w:lang w:val="en-US"/>
        </w:rPr>
      </w:pPr>
    </w:p>
    <w:p w14:paraId="0CEB8D49" w14:textId="2E479D7D" w:rsidR="0013621D" w:rsidRDefault="0013621D" w:rsidP="0013621D">
      <w:pPr>
        <w:pStyle w:val="Heading1"/>
        <w:spacing w:before="120"/>
        <w:rPr>
          <w:lang w:val="en-US"/>
        </w:rPr>
      </w:pPr>
      <w:r>
        <w:rPr>
          <w:lang w:val="en-US"/>
        </w:rPr>
        <w:t>REFERENCE</w:t>
      </w:r>
    </w:p>
    <w:bookmarkStart w:id="10" w:name="_Hlk67818453"/>
    <w:p w14:paraId="548D4327" w14:textId="2D6E61DC" w:rsidR="0018481A" w:rsidRPr="0018481A" w:rsidRDefault="007B4C16" w:rsidP="0018481A">
      <w:pPr>
        <w:widowControl w:val="0"/>
        <w:autoSpaceDE w:val="0"/>
        <w:autoSpaceDN w:val="0"/>
        <w:adjustRightInd w:val="0"/>
        <w:ind w:left="640" w:hanging="640"/>
        <w:rPr>
          <w:noProof/>
          <w:sz w:val="20"/>
        </w:rPr>
      </w:pPr>
      <w:r>
        <w:rPr>
          <w:iCs/>
          <w:color w:val="000000"/>
          <w:sz w:val="20"/>
          <w:szCs w:val="20"/>
        </w:rPr>
        <w:fldChar w:fldCharType="begin" w:fldLock="1"/>
      </w:r>
      <w:r>
        <w:rPr>
          <w:iCs/>
          <w:color w:val="000000"/>
          <w:sz w:val="20"/>
          <w:szCs w:val="20"/>
        </w:rPr>
        <w:instrText xml:space="preserve">ADDIN Mendeley Bibliography CSL_BIBLIOGRAPHY </w:instrText>
      </w:r>
      <w:r>
        <w:rPr>
          <w:iCs/>
          <w:color w:val="000000"/>
          <w:sz w:val="20"/>
          <w:szCs w:val="20"/>
        </w:rPr>
        <w:fldChar w:fldCharType="separate"/>
      </w:r>
      <w:r w:rsidR="0018481A" w:rsidRPr="0018481A">
        <w:rPr>
          <w:noProof/>
          <w:sz w:val="20"/>
        </w:rPr>
        <w:t>[1]</w:t>
      </w:r>
      <w:r w:rsidR="0018481A" w:rsidRPr="0018481A">
        <w:rPr>
          <w:noProof/>
          <w:sz w:val="20"/>
        </w:rPr>
        <w:tab/>
        <w:t xml:space="preserve">M. A. Rad, L. M. Lefsrud, M. T. Hendry, A. C. Cen, and S. Soltaninejad, “Analysis of freight train passing a stop signal using machine learning: Application of XGBoost and SHAP,” </w:t>
      </w:r>
      <w:r w:rsidR="0018481A" w:rsidRPr="0018481A">
        <w:rPr>
          <w:i/>
          <w:iCs/>
          <w:noProof/>
          <w:sz w:val="20"/>
        </w:rPr>
        <w:t>J. Rail Transp. Plan. Manag.</w:t>
      </w:r>
      <w:r w:rsidR="0018481A" w:rsidRPr="0018481A">
        <w:rPr>
          <w:noProof/>
          <w:sz w:val="20"/>
        </w:rPr>
        <w:t>, vol. 35, no. April, p. 100532, 2025, doi: 10.1016/j.jrtpm.2025.100532.</w:t>
      </w:r>
    </w:p>
    <w:p w14:paraId="4A561346"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[2]</w:t>
      </w:r>
      <w:r w:rsidRPr="0018481A">
        <w:rPr>
          <w:noProof/>
          <w:sz w:val="20"/>
        </w:rPr>
        <w:tab/>
        <w:t xml:space="preserve">B. Gülmez, “Stock price prediction with optimized deep LSTM network with artificial rabbits optimization algorithm,” </w:t>
      </w:r>
      <w:r w:rsidRPr="0018481A">
        <w:rPr>
          <w:i/>
          <w:iCs/>
          <w:noProof/>
          <w:sz w:val="20"/>
        </w:rPr>
        <w:t>Expert Syst. Appl.</w:t>
      </w:r>
      <w:r w:rsidRPr="0018481A">
        <w:rPr>
          <w:noProof/>
          <w:sz w:val="20"/>
        </w:rPr>
        <w:t>, vol. 227, no. May, p. 120346, 2023, doi: 10.1016/j.eswa.2023.120346.</w:t>
      </w:r>
    </w:p>
    <w:p w14:paraId="632E31AE"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[3]</w:t>
      </w:r>
      <w:r w:rsidRPr="0018481A">
        <w:rPr>
          <w:noProof/>
          <w:sz w:val="20"/>
        </w:rPr>
        <w:tab/>
        <w:t xml:space="preserve">J. Che, “A Short-Term Hybrid Prediction Model for Offshore Wind Power Based on EEMD and LSTM,” </w:t>
      </w:r>
      <w:r w:rsidRPr="0018481A">
        <w:rPr>
          <w:i/>
          <w:iCs/>
          <w:noProof/>
          <w:sz w:val="20"/>
        </w:rPr>
        <w:t>2023 6th Int. Conf. Energy, Electr. Power Eng.</w:t>
      </w:r>
      <w:r w:rsidRPr="0018481A">
        <w:rPr>
          <w:noProof/>
          <w:sz w:val="20"/>
        </w:rPr>
        <w:t>, pp. 1225–1229, 2023, doi: 10.1109/CEEPE58418.2023.10167250.</w:t>
      </w:r>
    </w:p>
    <w:p w14:paraId="7E34C476"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[4]</w:t>
      </w:r>
      <w:r w:rsidRPr="0018481A">
        <w:rPr>
          <w:noProof/>
          <w:sz w:val="20"/>
        </w:rPr>
        <w:tab/>
        <w:t xml:space="preserve">Q. Liu, Y. Hu, and H. Liu, “Enhanced stock price prediction with optimized ensemble modeling using multi-source heterogeneous data: Integrating LSTM attention mechanism and multidimensional gray model,” </w:t>
      </w:r>
      <w:r w:rsidRPr="0018481A">
        <w:rPr>
          <w:i/>
          <w:iCs/>
          <w:noProof/>
          <w:sz w:val="20"/>
        </w:rPr>
        <w:t>J. Ind. Inf. Integr.</w:t>
      </w:r>
      <w:r w:rsidRPr="0018481A">
        <w:rPr>
          <w:noProof/>
          <w:sz w:val="20"/>
        </w:rPr>
        <w:t>, vol. 42, no. November, p. 100711, 2024, doi: 10.1016/j.jii.2024.100711.</w:t>
      </w:r>
    </w:p>
    <w:p w14:paraId="4961E46B"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[5]</w:t>
      </w:r>
      <w:r w:rsidRPr="0018481A">
        <w:rPr>
          <w:noProof/>
          <w:sz w:val="20"/>
        </w:rPr>
        <w:tab/>
        <w:t xml:space="preserve">C. Ravikumar, J. Manoranjini, S. Pallavi, U. Naresh, S. Telang, and S. Kiran, “Advancing Malware Detection Using Memory Analysis and Explainable AI Approach,” </w:t>
      </w:r>
      <w:r w:rsidRPr="0018481A">
        <w:rPr>
          <w:i/>
          <w:iCs/>
          <w:noProof/>
          <w:sz w:val="20"/>
        </w:rPr>
        <w:t>2nd Int. Conf. Intell. Cyber Phys. Syst. Internet Things, ICoICI 2024 - Proc.</w:t>
      </w:r>
      <w:r w:rsidRPr="0018481A">
        <w:rPr>
          <w:noProof/>
          <w:sz w:val="20"/>
        </w:rPr>
        <w:t>, no. ICoICI, pp. 518–523, 2024, doi: 10.1109/ICoICI62503.2024.10696406.</w:t>
      </w:r>
    </w:p>
    <w:p w14:paraId="4B84B8F5"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[6]</w:t>
      </w:r>
      <w:r w:rsidRPr="0018481A">
        <w:rPr>
          <w:noProof/>
          <w:sz w:val="20"/>
        </w:rPr>
        <w:tab/>
        <w:t xml:space="preserve">S. Hossain and G. Kaur, “Stock Market Prediction: XGBoost and LSTM Comparative Analysis,” </w:t>
      </w:r>
      <w:r w:rsidRPr="0018481A">
        <w:rPr>
          <w:i/>
          <w:iCs/>
          <w:noProof/>
          <w:sz w:val="20"/>
        </w:rPr>
        <w:t>2024 3rd Int. Conf. Artif. Intell. Internet Things, AIIoT 2024</w:t>
      </w:r>
      <w:r w:rsidRPr="0018481A">
        <w:rPr>
          <w:noProof/>
          <w:sz w:val="20"/>
        </w:rPr>
        <w:t>, no. AIIoT, pp. 1–6, 2024, doi: 10.1109/AIIoT58432.2024.10574794.</w:t>
      </w:r>
    </w:p>
    <w:p w14:paraId="3DB871E9"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[7]</w:t>
      </w:r>
      <w:r w:rsidRPr="0018481A">
        <w:rPr>
          <w:noProof/>
          <w:sz w:val="20"/>
        </w:rPr>
        <w:tab/>
        <w:t>H. E. Yu, L. I. J. Ming, R. Sumei, and Z. Shuping, “A Hybrid Model for Financial Time Series Forecasting — Integration of EWT , ARIMA With The Improved ABC Optimized ELM,” pp. 84501–84518, 2020, doi: 10.1109/ACCESS.2020.2987547.</w:t>
      </w:r>
    </w:p>
    <w:p w14:paraId="67F6C87D"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[8]</w:t>
      </w:r>
      <w:r w:rsidRPr="0018481A">
        <w:rPr>
          <w:noProof/>
          <w:sz w:val="20"/>
        </w:rPr>
        <w:tab/>
        <w:t xml:space="preserve">J. Timko, R. El Shawi, and S. Tomasiello, “Optimizing stock price forecasting: a hybrid approach using fuzziness and automated machine learning,” </w:t>
      </w:r>
      <w:r w:rsidRPr="0018481A">
        <w:rPr>
          <w:i/>
          <w:iCs/>
          <w:noProof/>
          <w:sz w:val="20"/>
        </w:rPr>
        <w:t>Expert Syst. Appl.</w:t>
      </w:r>
      <w:r w:rsidRPr="0018481A">
        <w:rPr>
          <w:noProof/>
          <w:sz w:val="20"/>
        </w:rPr>
        <w:t xml:space="preserve">, vol. 295, no. December 2024, 2024, doi: </w:t>
      </w:r>
      <w:r w:rsidRPr="0018481A">
        <w:rPr>
          <w:noProof/>
          <w:sz w:val="20"/>
        </w:rPr>
        <w:lastRenderedPageBreak/>
        <w:t>10.1016/j.eswa.2025.128844.</w:t>
      </w:r>
    </w:p>
    <w:p w14:paraId="0176633E"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[9]</w:t>
      </w:r>
      <w:r w:rsidRPr="0018481A">
        <w:rPr>
          <w:noProof/>
          <w:sz w:val="20"/>
        </w:rPr>
        <w:tab/>
        <w:t xml:space="preserve">Z. Liu, Z. Su, L. Shang, H. Sun, and B. Zhao, “An approach to stock price prediction based on improved EEMD and attention-enhanced BiLSTM,” </w:t>
      </w:r>
      <w:r w:rsidRPr="0018481A">
        <w:rPr>
          <w:i/>
          <w:iCs/>
          <w:noProof/>
          <w:sz w:val="20"/>
        </w:rPr>
        <w:t>Expert Syst. Appl.</w:t>
      </w:r>
      <w:r w:rsidRPr="0018481A">
        <w:rPr>
          <w:noProof/>
          <w:sz w:val="20"/>
        </w:rPr>
        <w:t>, vol. 284, p. 127802, 2025, doi: 10.1016/j.eswa.2025.127802.</w:t>
      </w:r>
    </w:p>
    <w:p w14:paraId="35C9F05B"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[10]</w:t>
      </w:r>
      <w:r w:rsidRPr="0018481A">
        <w:rPr>
          <w:noProof/>
          <w:sz w:val="20"/>
        </w:rPr>
        <w:tab/>
        <w:t xml:space="preserve">H. Notaria, S. Shah, D. Thopte, H. Soneji, P. Bari, and K. Deulkar, “Comparative Analysis of Stock Price Prediction using Time Series Models,” </w:t>
      </w:r>
      <w:r w:rsidRPr="0018481A">
        <w:rPr>
          <w:i/>
          <w:iCs/>
          <w:noProof/>
          <w:sz w:val="20"/>
        </w:rPr>
        <w:t>2024 8th Int. Conf. Comput. Commun. Control Autom. ICCUBEA 2024</w:t>
      </w:r>
      <w:r w:rsidRPr="0018481A">
        <w:rPr>
          <w:noProof/>
          <w:sz w:val="20"/>
        </w:rPr>
        <w:t>, pp. 1–6, 2024, doi: 10.1109/ICCUBEA61740.2024.10775112.</w:t>
      </w:r>
    </w:p>
    <w:p w14:paraId="1F169AB2"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[11]</w:t>
      </w:r>
      <w:r w:rsidRPr="0018481A">
        <w:rPr>
          <w:noProof/>
          <w:sz w:val="20"/>
        </w:rPr>
        <w:tab/>
        <w:t xml:space="preserve">Z. Xiao, S. Li, and Z. Lin, “A Hybrid Modeling Approach for Forecasting the Volatility of REITs Index in US Market,” </w:t>
      </w:r>
      <w:r w:rsidRPr="0018481A">
        <w:rPr>
          <w:i/>
          <w:iCs/>
          <w:noProof/>
          <w:sz w:val="20"/>
        </w:rPr>
        <w:t>2012 Int. Conf. Manag. Sci. Eng. 19th Annu. Conf. Proc.</w:t>
      </w:r>
      <w:r w:rsidRPr="0018481A">
        <w:rPr>
          <w:noProof/>
          <w:sz w:val="20"/>
        </w:rPr>
        <w:t>, pp. 1861–1867, 2012, doi: 10.1109/ICMSE.2012.6414425.</w:t>
      </w:r>
    </w:p>
    <w:p w14:paraId="4139501E"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[12]</w:t>
      </w:r>
      <w:r w:rsidRPr="0018481A">
        <w:rPr>
          <w:noProof/>
          <w:sz w:val="20"/>
        </w:rPr>
        <w:tab/>
        <w:t xml:space="preserve">M. R. Hossain, M. T. Ismail, and J. Hossain, “Stock Price Prediction Using Empirical Mode Decomposition Based Theta Method and Forecast Combination,” </w:t>
      </w:r>
      <w:r w:rsidRPr="0018481A">
        <w:rPr>
          <w:i/>
          <w:iCs/>
          <w:noProof/>
          <w:sz w:val="20"/>
        </w:rPr>
        <w:t>2021 Int. Conf. Decis. Aid Sci. Appl.</w:t>
      </w:r>
      <w:r w:rsidRPr="0018481A">
        <w:rPr>
          <w:noProof/>
          <w:sz w:val="20"/>
        </w:rPr>
        <w:t>, pp. 1115–1119, 2021, doi: 10.1109/DASA53625.2021.9682235.</w:t>
      </w:r>
    </w:p>
    <w:p w14:paraId="4EC3643E"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[13]</w:t>
      </w:r>
      <w:r w:rsidRPr="0018481A">
        <w:rPr>
          <w:noProof/>
          <w:sz w:val="20"/>
        </w:rPr>
        <w:tab/>
        <w:t xml:space="preserve">L. Heistrene </w:t>
      </w:r>
      <w:r w:rsidRPr="0018481A">
        <w:rPr>
          <w:i/>
          <w:iCs/>
          <w:noProof/>
          <w:sz w:val="20"/>
        </w:rPr>
        <w:t>et al.</w:t>
      </w:r>
      <w:r w:rsidRPr="0018481A">
        <w:rPr>
          <w:noProof/>
          <w:sz w:val="20"/>
        </w:rPr>
        <w:t xml:space="preserve">, “An Improved and Explainable Electricity Price Forecasting Model via SHAP-Based Error Compensation Approach,” </w:t>
      </w:r>
      <w:r w:rsidRPr="0018481A">
        <w:rPr>
          <w:i/>
          <w:iCs/>
          <w:noProof/>
          <w:sz w:val="20"/>
        </w:rPr>
        <w:t>IEEE Trans. Artif. Intell.</w:t>
      </w:r>
      <w:r w:rsidRPr="0018481A">
        <w:rPr>
          <w:noProof/>
          <w:sz w:val="20"/>
        </w:rPr>
        <w:t>, vol. 6, no. 1, pp. 159–168, 2025, doi: 10.1109/TAI.2024.3455313.</w:t>
      </w:r>
    </w:p>
    <w:p w14:paraId="38E97418"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[14]</w:t>
      </w:r>
      <w:r w:rsidRPr="0018481A">
        <w:rPr>
          <w:noProof/>
          <w:sz w:val="20"/>
        </w:rPr>
        <w:tab/>
        <w:t xml:space="preserve">T. D. Hastuti, R. Sanjaya, and F. Koeswoyo, “The Investment Opportunity, Information Technology and Financial Performance of SMEs,” </w:t>
      </w:r>
      <w:r w:rsidRPr="0018481A">
        <w:rPr>
          <w:i/>
          <w:iCs/>
          <w:noProof/>
          <w:sz w:val="20"/>
        </w:rPr>
        <w:t>Proc. - Int. Conf. Comput. Inf. Sci. Sustain. Tomorrow with Digit. Innov. ICCOINS 2021</w:t>
      </w:r>
      <w:r w:rsidRPr="0018481A">
        <w:rPr>
          <w:noProof/>
          <w:sz w:val="20"/>
        </w:rPr>
        <w:t>, no. July 2021, pp. 247–251, 2021, doi: 10.1109/ICCOINS49721.2021.9497182.</w:t>
      </w:r>
    </w:p>
    <w:p w14:paraId="6F1780D3"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[15]</w:t>
      </w:r>
      <w:r w:rsidRPr="0018481A">
        <w:rPr>
          <w:noProof/>
          <w:sz w:val="20"/>
        </w:rPr>
        <w:tab/>
        <w:t xml:space="preserve">P. Thanathamathee, S. Sawangarreerak, and D. N. M. Nizam, “Enhancing Going Concern Prediction With Anchor Explainable AI and Attention-Weighted XGBoost,” </w:t>
      </w:r>
      <w:r w:rsidRPr="0018481A">
        <w:rPr>
          <w:i/>
          <w:iCs/>
          <w:noProof/>
          <w:sz w:val="20"/>
        </w:rPr>
        <w:t>IEEE Access</w:t>
      </w:r>
      <w:r w:rsidRPr="0018481A">
        <w:rPr>
          <w:noProof/>
          <w:sz w:val="20"/>
        </w:rPr>
        <w:t>, vol. 12, no. March, pp. 68345–68363, 2024, doi: 10.1109/ACCESS.2024.3401007.</w:t>
      </w:r>
    </w:p>
    <w:p w14:paraId="73B6231F" w14:textId="77777777" w:rsidR="0018481A" w:rsidRPr="0018481A" w:rsidRDefault="0018481A" w:rsidP="0018481A">
      <w:pPr>
        <w:widowControl w:val="0"/>
        <w:autoSpaceDE w:val="0"/>
        <w:autoSpaceDN w:val="0"/>
        <w:adjustRightInd w:val="0"/>
        <w:ind w:left="640" w:hanging="640"/>
        <w:rPr>
          <w:noProof/>
          <w:sz w:val="20"/>
        </w:rPr>
      </w:pPr>
      <w:r w:rsidRPr="0018481A">
        <w:rPr>
          <w:noProof/>
          <w:sz w:val="20"/>
        </w:rPr>
        <w:t>[16]</w:t>
      </w:r>
      <w:r w:rsidRPr="0018481A">
        <w:rPr>
          <w:noProof/>
          <w:sz w:val="20"/>
        </w:rPr>
        <w:tab/>
        <w:t xml:space="preserve">M. Aravindhan and D. Manikavelan, “Decomposition-Based Transformer-LSTM Framework for Stock Index Forecasting,” </w:t>
      </w:r>
      <w:r w:rsidRPr="0018481A">
        <w:rPr>
          <w:i/>
          <w:iCs/>
          <w:noProof/>
          <w:sz w:val="20"/>
        </w:rPr>
        <w:t>2025 3rd World Conf. Commun. &amp;amp; Comput.</w:t>
      </w:r>
      <w:r w:rsidRPr="0018481A">
        <w:rPr>
          <w:noProof/>
          <w:sz w:val="20"/>
        </w:rPr>
        <w:t>, pp. 1–6, 2025, doi: 10.1109/WCONF64849.2025.11233358.</w:t>
      </w:r>
    </w:p>
    <w:p w14:paraId="5DCFFF19" w14:textId="79ED9D2B" w:rsidR="0013621D" w:rsidRPr="000B7152" w:rsidRDefault="007B4C16" w:rsidP="0013621D">
      <w:pPr>
        <w:rPr>
          <w:iCs/>
          <w:color w:val="000000"/>
          <w:sz w:val="20"/>
          <w:szCs w:val="20"/>
        </w:rPr>
      </w:pPr>
      <w:r>
        <w:rPr>
          <w:iCs/>
          <w:color w:val="000000"/>
          <w:sz w:val="20"/>
          <w:szCs w:val="20"/>
        </w:rPr>
        <w:fldChar w:fldCharType="end"/>
      </w:r>
      <w:bookmarkEnd w:id="1"/>
      <w:bookmarkEnd w:id="10"/>
    </w:p>
    <w:sectPr w:rsidR="0013621D" w:rsidRPr="000B7152" w:rsidSect="008B3AF1">
      <w:type w:val="continuous"/>
      <w:pgSz w:w="11907" w:h="16840" w:code="9"/>
      <w:pgMar w:top="1701" w:right="1134" w:bottom="1134" w:left="1701" w:header="1134" w:footer="851" w:gutter="0"/>
      <w:cols w:num="2" w:space="41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1FE10" w14:textId="77777777" w:rsidR="006211C8" w:rsidRDefault="006211C8" w:rsidP="001448CC">
      <w:r>
        <w:separator/>
      </w:r>
    </w:p>
  </w:endnote>
  <w:endnote w:type="continuationSeparator" w:id="0">
    <w:p w14:paraId="03EF19E2" w14:textId="77777777" w:rsidR="006211C8" w:rsidRDefault="006211C8" w:rsidP="0014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6785"/>
      <w:docPartObj>
        <w:docPartGallery w:val="Page Numbers (Bottom of Page)"/>
        <w:docPartUnique/>
      </w:docPartObj>
    </w:sdtPr>
    <w:sdtEndPr>
      <w:rPr>
        <w:rFonts w:asciiTheme="majorHAnsi" w:hAnsiTheme="majorHAnsi"/>
        <w:sz w:val="22"/>
        <w:szCs w:val="22"/>
      </w:rPr>
    </w:sdtEndPr>
    <w:sdtContent>
      <w:p w14:paraId="6EB4CED6" w14:textId="77777777" w:rsidR="00E84C71" w:rsidRPr="00905A5C" w:rsidRDefault="00D61FDB" w:rsidP="00D21418">
        <w:pPr>
          <w:pStyle w:val="Footer"/>
          <w:jc w:val="center"/>
          <w:rPr>
            <w:rFonts w:asciiTheme="majorHAnsi" w:hAnsiTheme="majorHAnsi"/>
            <w:sz w:val="22"/>
            <w:szCs w:val="22"/>
          </w:rPr>
        </w:pPr>
        <w:r w:rsidRPr="00905A5C">
          <w:rPr>
            <w:rFonts w:asciiTheme="majorHAnsi" w:hAnsiTheme="majorHAnsi"/>
            <w:sz w:val="22"/>
            <w:szCs w:val="22"/>
          </w:rPr>
          <w:fldChar w:fldCharType="begin"/>
        </w:r>
        <w:r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sidR="0018481A">
          <w:rPr>
            <w:rFonts w:asciiTheme="majorHAnsi" w:hAnsiTheme="majorHAnsi"/>
            <w:noProof/>
            <w:sz w:val="22"/>
            <w:szCs w:val="22"/>
          </w:rPr>
          <w:t>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99155" w14:textId="77777777" w:rsidR="006211C8" w:rsidRDefault="006211C8" w:rsidP="001448CC">
      <w:r>
        <w:separator/>
      </w:r>
    </w:p>
  </w:footnote>
  <w:footnote w:type="continuationSeparator" w:id="0">
    <w:p w14:paraId="7F6132C6" w14:textId="77777777" w:rsidR="006211C8" w:rsidRDefault="006211C8" w:rsidP="0014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15CF2" w14:textId="77777777" w:rsidR="00E84C71" w:rsidRPr="004424DB" w:rsidRDefault="00D61FDB">
    <w:pPr>
      <w:pStyle w:val="Header"/>
      <w:rPr>
        <w:rFonts w:asciiTheme="majorHAnsi" w:hAnsiTheme="majorHAnsi"/>
        <w:sz w:val="18"/>
        <w:szCs w:val="18"/>
      </w:rPr>
    </w:pPr>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Pr>
        <w:rFonts w:asciiTheme="majorHAnsi" w:hAnsiTheme="majorHAnsi"/>
        <w:noProof/>
        <w:sz w:val="22"/>
        <w:szCs w:val="22"/>
        <w:lang w:val="id-ID"/>
      </w:rPr>
      <w:t>2</w:t>
    </w:r>
    <w:r w:rsidRPr="00991797">
      <w:rPr>
        <w:rFonts w:asciiTheme="majorHAnsi" w:hAnsiTheme="majorHAnsi"/>
        <w:sz w:val="22"/>
        <w:szCs w:val="22"/>
        <w:lang w:val="id-ID"/>
      </w:rPr>
      <w:fldChar w:fldCharType="end"/>
    </w:r>
    <w:r>
      <w:rPr>
        <w:rFonts w:asciiTheme="majorHAnsi" w:hAnsiTheme="majorHAnsi"/>
        <w:sz w:val="18"/>
        <w:szCs w:val="18"/>
        <w:lang w:val="id-ID"/>
      </w:rPr>
      <w:t xml:space="preserve">   </w:t>
    </w:r>
    <w:r w:rsidRPr="00991797">
      <w:rPr>
        <w:rFonts w:asciiTheme="majorHAnsi" w:hAnsiTheme="majorHAnsi"/>
        <w:b/>
        <w:sz w:val="18"/>
        <w:szCs w:val="18"/>
        <w:lang w:val="id-ID"/>
      </w:rPr>
      <w:t>Jurnal Teknologi Informasi dan Ilmu Komputer (JTIIK)</w:t>
    </w:r>
    <w:r w:rsidRPr="00991797">
      <w:rPr>
        <w:rFonts w:asciiTheme="majorHAnsi" w:hAnsiTheme="majorHAnsi"/>
        <w:sz w:val="18"/>
        <w:szCs w:val="18"/>
        <w:lang w:val="id-ID"/>
      </w:rPr>
      <w:t xml:space="preserve">, Vol. </w:t>
    </w:r>
    <w:proofErr w:type="gramStart"/>
    <w:r>
      <w:rPr>
        <w:rFonts w:asciiTheme="majorHAnsi" w:hAnsiTheme="majorHAnsi"/>
        <w:sz w:val="18"/>
        <w:szCs w:val="18"/>
      </w:rPr>
      <w:t>x</w:t>
    </w:r>
    <w:proofErr w:type="gramEnd"/>
    <w:r w:rsidRPr="00991797">
      <w:rPr>
        <w:rFonts w:asciiTheme="majorHAnsi" w:hAnsiTheme="majorHAnsi"/>
        <w:sz w:val="18"/>
        <w:szCs w:val="18"/>
        <w:lang w:val="id-ID"/>
      </w:rPr>
      <w:t xml:space="preserve">, No. </w:t>
    </w:r>
    <w:r>
      <w:rPr>
        <w:rFonts w:asciiTheme="majorHAnsi" w:hAnsiTheme="majorHAnsi"/>
        <w:sz w:val="18"/>
        <w:szCs w:val="18"/>
      </w:rPr>
      <w:t>x</w:t>
    </w:r>
    <w:r w:rsidRPr="00991797">
      <w:rPr>
        <w:rFonts w:asciiTheme="majorHAnsi" w:hAnsiTheme="majorHAnsi"/>
        <w:sz w:val="18"/>
        <w:szCs w:val="18"/>
        <w:lang w:val="id-ID"/>
      </w:rPr>
      <w:t xml:space="preserve">, April 2014, </w:t>
    </w:r>
    <w:r>
      <w:rPr>
        <w:rFonts w:asciiTheme="majorHAnsi" w:hAnsiTheme="majorHAnsi"/>
        <w:sz w:val="18"/>
        <w:szCs w:val="18"/>
        <w:lang w:val="id-ID"/>
      </w:rPr>
      <w:t xml:space="preserve">hlm. </w:t>
    </w:r>
    <w:proofErr w:type="gramStart"/>
    <w:r>
      <w:rPr>
        <w:rFonts w:asciiTheme="majorHAnsi" w:hAnsiTheme="majorHAnsi"/>
        <w:sz w:val="18"/>
        <w:szCs w:val="18"/>
      </w:rPr>
      <w:t>x</w:t>
    </w:r>
    <w:r>
      <w:rPr>
        <w:rFonts w:asciiTheme="majorHAnsi" w:hAnsiTheme="majorHAnsi"/>
        <w:sz w:val="18"/>
        <w:szCs w:val="18"/>
        <w:lang w:val="id-ID"/>
      </w:rPr>
      <w:t>-</w:t>
    </w:r>
    <w:r>
      <w:rPr>
        <w:rFonts w:asciiTheme="majorHAnsi" w:hAnsiTheme="majorHAnsi"/>
        <w:sz w:val="18"/>
        <w:szCs w:val="18"/>
      </w:rPr>
      <w:t>y</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CB60" w14:textId="24C7C337" w:rsidR="00E84C71" w:rsidRPr="00635669" w:rsidRDefault="00635669" w:rsidP="00801CC8">
    <w:pPr>
      <w:pStyle w:val="Header"/>
      <w:jc w:val="right"/>
      <w:rPr>
        <w:sz w:val="20"/>
        <w:szCs w:val="20"/>
      </w:rPr>
    </w:pPr>
    <w:r>
      <w:rPr>
        <w:i/>
        <w:iCs/>
        <w:sz w:val="20"/>
        <w:szCs w:val="20"/>
      </w:rPr>
      <w:t>Author</w:t>
    </w:r>
    <w:r w:rsidR="00D61FDB" w:rsidRPr="00635669">
      <w:rPr>
        <w:i/>
        <w:iCs/>
        <w:sz w:val="20"/>
        <w:szCs w:val="20"/>
      </w:rPr>
      <w:t xml:space="preserve">, </w:t>
    </w:r>
    <w:r>
      <w:rPr>
        <w:i/>
        <w:iCs/>
        <w:sz w:val="20"/>
        <w:szCs w:val="20"/>
      </w:rPr>
      <w:t xml:space="preserve">et. </w:t>
    </w:r>
    <w:proofErr w:type="gramStart"/>
    <w:r>
      <w:rPr>
        <w:i/>
        <w:iCs/>
        <w:sz w:val="20"/>
        <w:szCs w:val="20"/>
      </w:rPr>
      <w:t>al</w:t>
    </w:r>
    <w:proofErr w:type="gramEnd"/>
    <w:r w:rsidR="00D61FDB" w:rsidRPr="00635669">
      <w:rPr>
        <w:i/>
        <w:iCs/>
        <w:sz w:val="20"/>
        <w:szCs w:val="20"/>
      </w:rPr>
      <w:t xml:space="preserve">, </w:t>
    </w:r>
    <w:r w:rsidRPr="00635669">
      <w:rPr>
        <w:i/>
        <w:iCs/>
        <w:sz w:val="20"/>
        <w:szCs w:val="20"/>
      </w:rPr>
      <w:t xml:space="preserve">Title Written Times </w:t>
    </w:r>
    <w:r w:rsidR="00D61FDB" w:rsidRPr="00635669">
      <w:rPr>
        <w:i/>
        <w:iCs/>
        <w:sz w:val="20"/>
        <w:szCs w:val="20"/>
      </w:rPr>
      <w:t>…</w:t>
    </w:r>
    <w:r w:rsidR="00D61FDB" w:rsidRPr="00635669">
      <w:rPr>
        <w:sz w:val="20"/>
        <w:szCs w:val="20"/>
      </w:rPr>
      <w:t xml:space="preserve">   </w:t>
    </w:r>
    <w:r w:rsidR="00D61FDB" w:rsidRPr="00635669">
      <w:rPr>
        <w:sz w:val="20"/>
        <w:szCs w:val="20"/>
        <w:lang w:val="id-ID"/>
      </w:rPr>
      <w:fldChar w:fldCharType="begin"/>
    </w:r>
    <w:r w:rsidR="00D61FDB" w:rsidRPr="00635669">
      <w:rPr>
        <w:sz w:val="20"/>
        <w:szCs w:val="20"/>
        <w:lang w:val="id-ID"/>
      </w:rPr>
      <w:instrText xml:space="preserve"> PAGE   \* MERGEFORMAT </w:instrText>
    </w:r>
    <w:r w:rsidR="00D61FDB" w:rsidRPr="00635669">
      <w:rPr>
        <w:sz w:val="20"/>
        <w:szCs w:val="20"/>
        <w:lang w:val="id-ID"/>
      </w:rPr>
      <w:fldChar w:fldCharType="separate"/>
    </w:r>
    <w:r w:rsidR="0018481A">
      <w:rPr>
        <w:noProof/>
        <w:sz w:val="20"/>
        <w:szCs w:val="20"/>
        <w:lang w:val="id-ID"/>
      </w:rPr>
      <w:t>6</w:t>
    </w:r>
    <w:r w:rsidR="00D61FDB" w:rsidRPr="00635669">
      <w:rPr>
        <w:sz w:val="20"/>
        <w:szCs w:val="20"/>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6938" w14:textId="47501DA5" w:rsidR="00EB1BDB" w:rsidRPr="0070707C" w:rsidRDefault="00EB1BDB" w:rsidP="00060248">
    <w:pPr>
      <w:pStyle w:val="Header"/>
      <w:tabs>
        <w:tab w:val="clear" w:pos="4513"/>
        <w:tab w:val="clear" w:pos="9026"/>
        <w:tab w:val="center" w:pos="3780"/>
        <w:tab w:val="right" w:pos="9072"/>
      </w:tabs>
      <w:rPr>
        <w:rFonts w:asciiTheme="majorBidi" w:hAnsiTheme="majorBidi" w:cstheme="majorBidi"/>
        <w:bCs/>
        <w:sz w:val="20"/>
        <w:szCs w:val="20"/>
      </w:rPr>
    </w:pPr>
    <w:r w:rsidRPr="000F37C8">
      <w:rPr>
        <w:rFonts w:asciiTheme="majorBidi" w:hAnsiTheme="majorBidi" w:cstheme="majorBidi"/>
        <w:bCs/>
        <w:sz w:val="20"/>
        <w:szCs w:val="20"/>
        <w:lang w:val="id-ID"/>
      </w:rPr>
      <w:t>JIKO (</w:t>
    </w:r>
    <w:r w:rsidR="00D61FDB" w:rsidRPr="000F37C8">
      <w:rPr>
        <w:rFonts w:asciiTheme="majorBidi" w:hAnsiTheme="majorBidi" w:cstheme="majorBidi"/>
        <w:bCs/>
        <w:sz w:val="20"/>
        <w:szCs w:val="20"/>
        <w:lang w:val="id-ID"/>
      </w:rPr>
      <w:t xml:space="preserve">Jurnal </w:t>
    </w:r>
    <w:r w:rsidR="001448CC" w:rsidRPr="000F37C8">
      <w:rPr>
        <w:rFonts w:asciiTheme="majorBidi" w:hAnsiTheme="majorBidi" w:cstheme="majorBidi"/>
        <w:bCs/>
        <w:sz w:val="20"/>
        <w:szCs w:val="20"/>
        <w:lang w:val="id-ID"/>
      </w:rPr>
      <w:t>Informatika dan Komputer</w:t>
    </w:r>
    <w:r w:rsidRPr="000F37C8">
      <w:rPr>
        <w:rFonts w:asciiTheme="majorBidi" w:hAnsiTheme="majorBidi" w:cstheme="majorBidi"/>
        <w:bCs/>
        <w:sz w:val="20"/>
        <w:szCs w:val="20"/>
        <w:lang w:val="id-ID"/>
      </w:rPr>
      <w:t>)</w:t>
    </w:r>
    <w:r w:rsidR="00D61FDB" w:rsidRPr="000F37C8">
      <w:rPr>
        <w:rFonts w:asciiTheme="majorBidi" w:hAnsiTheme="majorBidi" w:cstheme="majorBidi"/>
        <w:bCs/>
        <w:sz w:val="20"/>
        <w:szCs w:val="20"/>
      </w:rPr>
      <w:tab/>
    </w:r>
    <w:r w:rsidR="00060248">
      <w:rPr>
        <w:rFonts w:asciiTheme="majorBidi" w:hAnsiTheme="majorBidi" w:cstheme="majorBidi"/>
        <w:bCs/>
        <w:sz w:val="20"/>
        <w:szCs w:val="20"/>
      </w:rPr>
      <w:tab/>
    </w:r>
    <w:r w:rsidR="00060248" w:rsidRPr="00060248">
      <w:rPr>
        <w:rStyle w:val="tlid-translation"/>
        <w:bCs/>
        <w:color w:val="000000" w:themeColor="text1"/>
        <w:sz w:val="20"/>
        <w:szCs w:val="20"/>
      </w:rPr>
      <w:t>Accredited KEMDIKTISAINTEK, No.0173/C3/DT.05.00/2025</w:t>
    </w:r>
  </w:p>
  <w:p w14:paraId="418671CB" w14:textId="7F85CE24" w:rsidR="000F37C8" w:rsidRPr="000F37C8" w:rsidRDefault="00EB1BDB" w:rsidP="000F37C8">
    <w:pPr>
      <w:pStyle w:val="Header"/>
      <w:tabs>
        <w:tab w:val="clear" w:pos="9026"/>
        <w:tab w:val="right" w:pos="9072"/>
      </w:tabs>
      <w:rPr>
        <w:bCs/>
        <w:sz w:val="20"/>
        <w:szCs w:val="20"/>
      </w:rPr>
    </w:pPr>
    <w:r w:rsidRPr="000F37C8">
      <w:rPr>
        <w:rFonts w:asciiTheme="majorBidi" w:hAnsiTheme="majorBidi" w:cstheme="majorBidi"/>
        <w:bCs/>
        <w:sz w:val="20"/>
        <w:szCs w:val="20"/>
        <w:lang w:val="id-ID"/>
      </w:rPr>
      <w:t xml:space="preserve">Vol. </w:t>
    </w:r>
    <w:proofErr w:type="gramStart"/>
    <w:r w:rsidR="00A803FE">
      <w:rPr>
        <w:rFonts w:asciiTheme="majorBidi" w:hAnsiTheme="majorBidi" w:cstheme="majorBidi"/>
        <w:bCs/>
        <w:sz w:val="20"/>
        <w:szCs w:val="20"/>
      </w:rPr>
      <w:t>x</w:t>
    </w:r>
    <w:proofErr w:type="gramEnd"/>
    <w:r w:rsidRPr="000F37C8">
      <w:rPr>
        <w:rFonts w:asciiTheme="majorBidi" w:hAnsiTheme="majorBidi" w:cstheme="majorBidi"/>
        <w:bCs/>
        <w:sz w:val="20"/>
        <w:szCs w:val="20"/>
        <w:lang w:val="id-ID"/>
      </w:rPr>
      <w:t xml:space="preserve">, No. </w:t>
    </w:r>
    <w:r w:rsidRPr="000F37C8">
      <w:rPr>
        <w:rFonts w:asciiTheme="majorBidi" w:hAnsiTheme="majorBidi" w:cstheme="majorBidi"/>
        <w:bCs/>
        <w:sz w:val="20"/>
        <w:szCs w:val="20"/>
      </w:rPr>
      <w:t>x</w:t>
    </w:r>
    <w:r w:rsidRPr="000F37C8">
      <w:rPr>
        <w:rFonts w:asciiTheme="majorBidi" w:hAnsiTheme="majorBidi" w:cstheme="majorBidi"/>
        <w:bCs/>
        <w:sz w:val="20"/>
        <w:szCs w:val="20"/>
        <w:lang w:val="id-ID"/>
      </w:rPr>
      <w:t>, April 20</w:t>
    </w:r>
    <w:r w:rsidR="00A803FE">
      <w:rPr>
        <w:rFonts w:asciiTheme="majorBidi" w:hAnsiTheme="majorBidi" w:cstheme="majorBidi"/>
        <w:bCs/>
        <w:sz w:val="20"/>
        <w:szCs w:val="20"/>
      </w:rPr>
      <w:t>2</w:t>
    </w:r>
    <w:r w:rsidR="00060248">
      <w:rPr>
        <w:rFonts w:asciiTheme="majorBidi" w:hAnsiTheme="majorBidi" w:cstheme="majorBidi"/>
        <w:bCs/>
        <w:sz w:val="20"/>
        <w:szCs w:val="20"/>
      </w:rPr>
      <w:t>5</w:t>
    </w:r>
    <w:r w:rsidRPr="000F37C8">
      <w:rPr>
        <w:rFonts w:asciiTheme="majorBidi" w:hAnsiTheme="majorBidi" w:cstheme="majorBidi"/>
        <w:bCs/>
        <w:sz w:val="20"/>
        <w:szCs w:val="20"/>
        <w:lang w:val="id-ID"/>
      </w:rPr>
      <w:t xml:space="preserve">, </w:t>
    </w:r>
    <w:proofErr w:type="spellStart"/>
    <w:r w:rsidR="00635669">
      <w:rPr>
        <w:rFonts w:asciiTheme="majorBidi" w:hAnsiTheme="majorBidi" w:cstheme="majorBidi"/>
        <w:bCs/>
        <w:sz w:val="20"/>
        <w:szCs w:val="20"/>
      </w:rPr>
      <w:t>pp</w:t>
    </w:r>
    <w:proofErr w:type="spellEnd"/>
    <w:r w:rsidRPr="000F37C8">
      <w:rPr>
        <w:rFonts w:asciiTheme="majorBidi" w:hAnsiTheme="majorBidi" w:cstheme="majorBidi"/>
        <w:bCs/>
        <w:sz w:val="20"/>
        <w:szCs w:val="20"/>
        <w:lang w:val="id-ID"/>
      </w:rPr>
      <w:t xml:space="preserve">. </w:t>
    </w:r>
    <w:r w:rsidRPr="000F37C8">
      <w:rPr>
        <w:rFonts w:asciiTheme="majorBidi" w:hAnsiTheme="majorBidi" w:cstheme="majorBidi"/>
        <w:bCs/>
        <w:sz w:val="20"/>
        <w:szCs w:val="20"/>
      </w:rPr>
      <w:t>x</w:t>
    </w:r>
    <w:r w:rsidRPr="000F37C8">
      <w:rPr>
        <w:rFonts w:asciiTheme="majorBidi" w:hAnsiTheme="majorBidi" w:cstheme="majorBidi"/>
        <w:bCs/>
        <w:sz w:val="20"/>
        <w:szCs w:val="20"/>
        <w:lang w:val="id-ID"/>
      </w:rPr>
      <w:t>-</w:t>
    </w:r>
    <w:r w:rsidRPr="000F37C8">
      <w:rPr>
        <w:rFonts w:asciiTheme="majorBidi" w:hAnsiTheme="majorBidi" w:cstheme="majorBidi"/>
        <w:bCs/>
        <w:sz w:val="20"/>
        <w:szCs w:val="20"/>
      </w:rPr>
      <w:t>x</w:t>
    </w:r>
    <w:r w:rsidRPr="000F37C8">
      <w:rPr>
        <w:rFonts w:asciiTheme="majorBidi" w:hAnsiTheme="majorBidi" w:cstheme="majorBidi"/>
        <w:bCs/>
        <w:sz w:val="20"/>
        <w:szCs w:val="20"/>
      </w:rPr>
      <w:tab/>
    </w:r>
    <w:r w:rsidRPr="000F37C8">
      <w:rPr>
        <w:rFonts w:asciiTheme="majorBidi" w:hAnsiTheme="majorBidi" w:cstheme="majorBidi"/>
        <w:bCs/>
        <w:sz w:val="20"/>
        <w:szCs w:val="20"/>
      </w:rPr>
      <w:tab/>
    </w:r>
    <w:r w:rsidR="000F37C8" w:rsidRPr="000F37C8">
      <w:rPr>
        <w:bCs/>
        <w:sz w:val="20"/>
        <w:szCs w:val="20"/>
      </w:rPr>
      <w:t>p-ISSN: 2614-8897</w:t>
    </w:r>
  </w:p>
  <w:p w14:paraId="5DC85AAD" w14:textId="77777777" w:rsidR="00E84C71" w:rsidRPr="000F37C8" w:rsidRDefault="000F37C8" w:rsidP="000F37C8">
    <w:pPr>
      <w:pStyle w:val="Header"/>
      <w:tabs>
        <w:tab w:val="clear" w:pos="9026"/>
        <w:tab w:val="right" w:pos="9072"/>
      </w:tabs>
      <w:rPr>
        <w:bCs/>
        <w:sz w:val="20"/>
        <w:szCs w:val="20"/>
        <w:u w:val="single"/>
        <w:lang w:val="id-ID"/>
      </w:rPr>
    </w:pPr>
    <w:r w:rsidRPr="000F37C8">
      <w:rPr>
        <w:bCs/>
        <w:sz w:val="20"/>
        <w:szCs w:val="20"/>
        <w:lang w:val="id-ID"/>
      </w:rPr>
      <w:t>DOI:</w:t>
    </w:r>
    <w:r w:rsidRPr="000F37C8">
      <w:rPr>
        <w:rStyle w:val="Heading1Char"/>
        <w:bCs/>
        <w:lang w:val="id-ID"/>
      </w:rPr>
      <w:t xml:space="preserve"> </w:t>
    </w:r>
    <w:hyperlink r:id="rId1" w:tgtFrame="_blank" w:history="1">
      <w:r w:rsidRPr="000F37C8">
        <w:rPr>
          <w:rStyle w:val="Hyperlink"/>
          <w:bCs/>
          <w:color w:val="000000"/>
          <w:sz w:val="20"/>
          <w:szCs w:val="20"/>
          <w:u w:val="none"/>
        </w:rPr>
        <w:t>10.33387/</w:t>
      </w:r>
      <w:proofErr w:type="spellStart"/>
      <w:r w:rsidRPr="000F37C8">
        <w:rPr>
          <w:rStyle w:val="Hyperlink"/>
          <w:bCs/>
          <w:color w:val="000000"/>
          <w:sz w:val="20"/>
          <w:szCs w:val="20"/>
          <w:u w:val="none"/>
        </w:rPr>
        <w:t>jiko</w:t>
      </w:r>
      <w:proofErr w:type="spellEnd"/>
    </w:hyperlink>
    <w:r w:rsidRPr="000F37C8">
      <w:rPr>
        <w:bCs/>
        <w:sz w:val="20"/>
        <w:szCs w:val="20"/>
      </w:rPr>
      <w:tab/>
    </w:r>
    <w:r w:rsidRPr="000F37C8">
      <w:rPr>
        <w:bCs/>
        <w:sz w:val="20"/>
        <w:szCs w:val="20"/>
      </w:rPr>
      <w:tab/>
      <w:t>e-ISSN: 2656-1948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41006"/>
    <w:multiLevelType w:val="multilevel"/>
    <w:tmpl w:val="B010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E2F62"/>
    <w:multiLevelType w:val="hybridMultilevel"/>
    <w:tmpl w:val="832EF298"/>
    <w:lvl w:ilvl="0" w:tplc="35F8F8AC">
      <w:start w:val="1"/>
      <w:numFmt w:val="decimal"/>
      <w:lvlText w:val="4. %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93226"/>
    <w:multiLevelType w:val="singleLevel"/>
    <w:tmpl w:val="F07A1AE0"/>
    <w:lvl w:ilvl="0">
      <w:start w:val="1"/>
      <w:numFmt w:val="decimal"/>
      <w:pStyle w:val="Heading2-Skripsiok"/>
      <w:lvlText w:val="%1."/>
      <w:lvlJc w:val="right"/>
      <w:pPr>
        <w:ind w:left="360" w:hanging="360"/>
      </w:pPr>
      <w:rPr>
        <w:rFonts w:hint="default"/>
      </w:rPr>
    </w:lvl>
  </w:abstractNum>
  <w:abstractNum w:abstractNumId="3">
    <w:nsid w:val="1C133573"/>
    <w:multiLevelType w:val="multilevel"/>
    <w:tmpl w:val="591AC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nsid w:val="25FC6BE6"/>
    <w:multiLevelType w:val="hybridMultilevel"/>
    <w:tmpl w:val="65807342"/>
    <w:lvl w:ilvl="0" w:tplc="BC20CADA">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14438"/>
    <w:multiLevelType w:val="hybridMultilevel"/>
    <w:tmpl w:val="0DCCC9B8"/>
    <w:lvl w:ilvl="0" w:tplc="40EACF24">
      <w:start w:val="1"/>
      <w:numFmt w:val="decimal"/>
      <w:pStyle w:val="DaftarPusta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706BE"/>
    <w:multiLevelType w:val="multilevel"/>
    <w:tmpl w:val="AE9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090CE1"/>
    <w:multiLevelType w:val="multilevel"/>
    <w:tmpl w:val="93B2A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40677BB"/>
    <w:multiLevelType w:val="multilevel"/>
    <w:tmpl w:val="1DD6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8F4696"/>
    <w:multiLevelType w:val="multilevel"/>
    <w:tmpl w:val="524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7C1B91"/>
    <w:multiLevelType w:val="hybridMultilevel"/>
    <w:tmpl w:val="C5E8D4CE"/>
    <w:lvl w:ilvl="0" w:tplc="BC20CADA">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5"/>
  </w:num>
  <w:num w:numId="7">
    <w:abstractNumId w:val="5"/>
  </w:num>
  <w:num w:numId="8">
    <w:abstractNumId w:val="1"/>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0"/>
  </w:num>
  <w:num w:numId="14">
    <w:abstractNumId w:val="12"/>
  </w:num>
  <w:num w:numId="15">
    <w:abstractNumId w:val="13"/>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CC"/>
    <w:rsid w:val="00050F8B"/>
    <w:rsid w:val="000574C7"/>
    <w:rsid w:val="00060248"/>
    <w:rsid w:val="000B7152"/>
    <w:rsid w:val="000F37C8"/>
    <w:rsid w:val="00110C0B"/>
    <w:rsid w:val="00113972"/>
    <w:rsid w:val="001154BC"/>
    <w:rsid w:val="0013621D"/>
    <w:rsid w:val="0014039D"/>
    <w:rsid w:val="001448CC"/>
    <w:rsid w:val="0018481A"/>
    <w:rsid w:val="00185EEC"/>
    <w:rsid w:val="001968A1"/>
    <w:rsid w:val="001A02EC"/>
    <w:rsid w:val="001B0B47"/>
    <w:rsid w:val="001B4F39"/>
    <w:rsid w:val="00211834"/>
    <w:rsid w:val="002418CE"/>
    <w:rsid w:val="002C4A38"/>
    <w:rsid w:val="0032180F"/>
    <w:rsid w:val="00362AB7"/>
    <w:rsid w:val="003A74D8"/>
    <w:rsid w:val="003C2499"/>
    <w:rsid w:val="00442EBB"/>
    <w:rsid w:val="004578EA"/>
    <w:rsid w:val="00464C9C"/>
    <w:rsid w:val="0049227E"/>
    <w:rsid w:val="00497900"/>
    <w:rsid w:val="004F5F8A"/>
    <w:rsid w:val="006211C8"/>
    <w:rsid w:val="00625E93"/>
    <w:rsid w:val="00635669"/>
    <w:rsid w:val="006720C9"/>
    <w:rsid w:val="006E126E"/>
    <w:rsid w:val="0070707C"/>
    <w:rsid w:val="0075613C"/>
    <w:rsid w:val="00767D7A"/>
    <w:rsid w:val="007B4C16"/>
    <w:rsid w:val="008343E3"/>
    <w:rsid w:val="0088749A"/>
    <w:rsid w:val="008B3AF1"/>
    <w:rsid w:val="008E54B4"/>
    <w:rsid w:val="00921394"/>
    <w:rsid w:val="00960E4E"/>
    <w:rsid w:val="009872EB"/>
    <w:rsid w:val="009E1C1E"/>
    <w:rsid w:val="00A250BE"/>
    <w:rsid w:val="00A803FE"/>
    <w:rsid w:val="00A93A43"/>
    <w:rsid w:val="00AA1530"/>
    <w:rsid w:val="00AC1681"/>
    <w:rsid w:val="00AC38A4"/>
    <w:rsid w:val="00B004B7"/>
    <w:rsid w:val="00B1595D"/>
    <w:rsid w:val="00B238E4"/>
    <w:rsid w:val="00B32567"/>
    <w:rsid w:val="00B401AF"/>
    <w:rsid w:val="00B97E4D"/>
    <w:rsid w:val="00BB166D"/>
    <w:rsid w:val="00C047C6"/>
    <w:rsid w:val="00C77560"/>
    <w:rsid w:val="00CC71AA"/>
    <w:rsid w:val="00D02983"/>
    <w:rsid w:val="00D1619B"/>
    <w:rsid w:val="00D27ACB"/>
    <w:rsid w:val="00D61472"/>
    <w:rsid w:val="00D61FDB"/>
    <w:rsid w:val="00D631E0"/>
    <w:rsid w:val="00D65107"/>
    <w:rsid w:val="00D706EB"/>
    <w:rsid w:val="00DD35BF"/>
    <w:rsid w:val="00E362D6"/>
    <w:rsid w:val="00E62691"/>
    <w:rsid w:val="00E84C71"/>
    <w:rsid w:val="00EB1BDB"/>
    <w:rsid w:val="00EE6CB6"/>
    <w:rsid w:val="00EF3610"/>
    <w:rsid w:val="00F10C22"/>
    <w:rsid w:val="00F173DE"/>
    <w:rsid w:val="00F7292F"/>
    <w:rsid w:val="00F804B9"/>
    <w:rsid w:val="00FD0E7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B1906"/>
  <w15:chartTrackingRefBased/>
  <w15:docId w15:val="{A12BD27B-6B84-485D-A7CF-2CD63AB4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448C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1448CC"/>
    <w:pPr>
      <w:keepNext/>
      <w:spacing w:before="240" w:after="120"/>
      <w:outlineLvl w:val="1"/>
    </w:pPr>
    <w:rPr>
      <w:b/>
      <w:bCs/>
      <w:iCs/>
      <w:sz w:val="20"/>
      <w:szCs w:val="20"/>
      <w:lang w:val="id-ID"/>
    </w:rPr>
  </w:style>
  <w:style w:type="paragraph" w:styleId="Heading3">
    <w:name w:val="heading 3"/>
    <w:basedOn w:val="Normal"/>
    <w:next w:val="Normal"/>
    <w:link w:val="Heading3Char"/>
    <w:uiPriority w:val="9"/>
    <w:semiHidden/>
    <w:unhideWhenUsed/>
    <w:qFormat/>
    <w:rsid w:val="00D1619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8CC"/>
    <w:rPr>
      <w:rFonts w:ascii="Times New Roman" w:eastAsia="Times New Roman" w:hAnsi="Times New Roman" w:cs="Times New Roman"/>
      <w:b/>
      <w:color w:val="000000"/>
      <w:sz w:val="20"/>
      <w:szCs w:val="20"/>
    </w:rPr>
  </w:style>
  <w:style w:type="character" w:customStyle="1" w:styleId="Heading2Char">
    <w:name w:val="Heading 2 Char"/>
    <w:basedOn w:val="DefaultParagraphFont"/>
    <w:link w:val="Heading2"/>
    <w:rsid w:val="001448CC"/>
    <w:rPr>
      <w:rFonts w:ascii="Times New Roman" w:eastAsia="Times New Roman" w:hAnsi="Times New Roman" w:cs="Times New Roman"/>
      <w:b/>
      <w:bCs/>
      <w:iCs/>
      <w:sz w:val="20"/>
      <w:szCs w:val="20"/>
    </w:rPr>
  </w:style>
  <w:style w:type="paragraph" w:styleId="BodyText">
    <w:name w:val="Body Text"/>
    <w:basedOn w:val="Normal"/>
    <w:link w:val="BodyTextChar"/>
    <w:rsid w:val="001448CC"/>
    <w:pPr>
      <w:jc w:val="center"/>
    </w:pPr>
    <w:rPr>
      <w:sz w:val="20"/>
      <w:szCs w:val="20"/>
    </w:rPr>
  </w:style>
  <w:style w:type="character" w:customStyle="1" w:styleId="BodyTextChar">
    <w:name w:val="Body Text Char"/>
    <w:basedOn w:val="DefaultParagraphFont"/>
    <w:link w:val="BodyText"/>
    <w:rsid w:val="001448CC"/>
    <w:rPr>
      <w:rFonts w:ascii="Times New Roman" w:eastAsia="Times New Roman" w:hAnsi="Times New Roman" w:cs="Times New Roman"/>
      <w:sz w:val="20"/>
      <w:szCs w:val="20"/>
      <w:lang w:val="en-US"/>
    </w:rPr>
  </w:style>
  <w:style w:type="paragraph" w:customStyle="1" w:styleId="ICTSAuthorIdentity">
    <w:name w:val="ICTS_AuthorIdentity"/>
    <w:basedOn w:val="BodyText3"/>
    <w:rsid w:val="001448CC"/>
    <w:pPr>
      <w:spacing w:after="0"/>
      <w:jc w:val="center"/>
    </w:pPr>
    <w:rPr>
      <w:rFonts w:eastAsia="MS Mincho"/>
      <w:sz w:val="20"/>
      <w:szCs w:val="20"/>
    </w:rPr>
  </w:style>
  <w:style w:type="character" w:styleId="Hyperlink">
    <w:name w:val="Hyperlink"/>
    <w:rsid w:val="001448CC"/>
    <w:rPr>
      <w:color w:val="0000FF"/>
      <w:u w:val="single"/>
    </w:rPr>
  </w:style>
  <w:style w:type="paragraph" w:customStyle="1" w:styleId="Body">
    <w:name w:val="Body"/>
    <w:basedOn w:val="Normal"/>
    <w:link w:val="BodyChar"/>
    <w:qFormat/>
    <w:rsid w:val="001448CC"/>
    <w:pPr>
      <w:ind w:firstLine="426"/>
      <w:jc w:val="both"/>
    </w:pPr>
    <w:rPr>
      <w:color w:val="000000"/>
      <w:sz w:val="20"/>
      <w:szCs w:val="20"/>
      <w:lang w:val="fi-FI"/>
    </w:rPr>
  </w:style>
  <w:style w:type="character" w:customStyle="1" w:styleId="BodyChar">
    <w:name w:val="Body Char"/>
    <w:link w:val="Body"/>
    <w:rsid w:val="001448CC"/>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1448CC"/>
    <w:pPr>
      <w:spacing w:before="120" w:line="360" w:lineRule="auto"/>
    </w:pPr>
    <w:rPr>
      <w:rFonts w:ascii="Calibri" w:hAnsi="Calibri"/>
      <w:sz w:val="24"/>
      <w:szCs w:val="24"/>
      <w:lang w:val="en-AU" w:bidi="en-US"/>
    </w:rPr>
  </w:style>
  <w:style w:type="paragraph" w:styleId="Header">
    <w:name w:val="header"/>
    <w:basedOn w:val="Normal"/>
    <w:link w:val="HeaderChar"/>
    <w:rsid w:val="001448CC"/>
    <w:pPr>
      <w:tabs>
        <w:tab w:val="center" w:pos="4513"/>
        <w:tab w:val="right" w:pos="9026"/>
      </w:tabs>
    </w:pPr>
  </w:style>
  <w:style w:type="character" w:customStyle="1" w:styleId="HeaderChar">
    <w:name w:val="Header Char"/>
    <w:basedOn w:val="DefaultParagraphFont"/>
    <w:link w:val="Header"/>
    <w:rsid w:val="001448C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448CC"/>
    <w:pPr>
      <w:tabs>
        <w:tab w:val="center" w:pos="4513"/>
        <w:tab w:val="right" w:pos="9026"/>
      </w:tabs>
    </w:pPr>
  </w:style>
  <w:style w:type="character" w:customStyle="1" w:styleId="FooterChar">
    <w:name w:val="Footer Char"/>
    <w:basedOn w:val="DefaultParagraphFont"/>
    <w:link w:val="Footer"/>
    <w:uiPriority w:val="99"/>
    <w:rsid w:val="001448CC"/>
    <w:rPr>
      <w:rFonts w:ascii="Times New Roman" w:eastAsia="Times New Roman" w:hAnsi="Times New Roman" w:cs="Times New Roman"/>
      <w:sz w:val="24"/>
      <w:szCs w:val="24"/>
      <w:lang w:val="en-US"/>
    </w:rPr>
  </w:style>
  <w:style w:type="paragraph" w:customStyle="1" w:styleId="Judul">
    <w:name w:val="Judul"/>
    <w:basedOn w:val="Normal"/>
    <w:qFormat/>
    <w:rsid w:val="001448CC"/>
    <w:pPr>
      <w:spacing w:before="120" w:after="120"/>
      <w:jc w:val="center"/>
    </w:pPr>
    <w:rPr>
      <w:b/>
      <w:lang w:val="id-ID"/>
    </w:rPr>
  </w:style>
  <w:style w:type="paragraph" w:customStyle="1" w:styleId="Abstrak">
    <w:name w:val="Abstrak"/>
    <w:basedOn w:val="BodyText"/>
    <w:qFormat/>
    <w:rsid w:val="001448CC"/>
    <w:pPr>
      <w:jc w:val="both"/>
    </w:pPr>
    <w:rPr>
      <w:lang w:val="id-ID"/>
    </w:rPr>
  </w:style>
  <w:style w:type="paragraph" w:customStyle="1" w:styleId="Abstract">
    <w:name w:val="Abstract"/>
    <w:basedOn w:val="BodyText"/>
    <w:qFormat/>
    <w:rsid w:val="001448CC"/>
    <w:pPr>
      <w:jc w:val="both"/>
    </w:pPr>
    <w:rPr>
      <w:i/>
    </w:rPr>
  </w:style>
  <w:style w:type="paragraph" w:customStyle="1" w:styleId="Judul2">
    <w:name w:val="Judul 2"/>
    <w:basedOn w:val="BodyText"/>
    <w:qFormat/>
    <w:rsid w:val="001448CC"/>
    <w:pPr>
      <w:spacing w:before="120" w:after="120"/>
    </w:pPr>
    <w:rPr>
      <w:b/>
      <w:lang w:val="id-ID"/>
    </w:rPr>
  </w:style>
  <w:style w:type="paragraph" w:styleId="BodyText3">
    <w:name w:val="Body Text 3"/>
    <w:basedOn w:val="Normal"/>
    <w:link w:val="BodyText3Char"/>
    <w:uiPriority w:val="99"/>
    <w:semiHidden/>
    <w:unhideWhenUsed/>
    <w:rsid w:val="001448CC"/>
    <w:pPr>
      <w:spacing w:after="120"/>
    </w:pPr>
    <w:rPr>
      <w:sz w:val="16"/>
      <w:szCs w:val="16"/>
    </w:rPr>
  </w:style>
  <w:style w:type="character" w:customStyle="1" w:styleId="BodyText3Char">
    <w:name w:val="Body Text 3 Char"/>
    <w:basedOn w:val="DefaultParagraphFont"/>
    <w:link w:val="BodyText3"/>
    <w:uiPriority w:val="99"/>
    <w:semiHidden/>
    <w:rsid w:val="001448CC"/>
    <w:rPr>
      <w:rFonts w:ascii="Times New Roman" w:eastAsia="Times New Roman" w:hAnsi="Times New Roman" w:cs="Times New Roman"/>
      <w:sz w:val="16"/>
      <w:szCs w:val="16"/>
      <w:lang w:val="en-US"/>
    </w:rPr>
  </w:style>
  <w:style w:type="paragraph" w:customStyle="1" w:styleId="Heading2-Skripsiok">
    <w:name w:val="Heading 2 - Skripsi ok"/>
    <w:basedOn w:val="Normal"/>
    <w:qFormat/>
    <w:rsid w:val="002418CE"/>
    <w:pPr>
      <w:keepNext/>
      <w:keepLines/>
      <w:numPr>
        <w:numId w:val="2"/>
      </w:numPr>
      <w:spacing w:line="360" w:lineRule="auto"/>
      <w:outlineLvl w:val="1"/>
    </w:pPr>
    <w:rPr>
      <w:b/>
      <w:bCs/>
      <w:color w:val="000000"/>
    </w:rPr>
  </w:style>
  <w:style w:type="paragraph" w:customStyle="1" w:styleId="Isi">
    <w:name w:val="Isi"/>
    <w:basedOn w:val="Normal"/>
    <w:link w:val="IsiChar"/>
    <w:qFormat/>
    <w:rsid w:val="002418CE"/>
    <w:pPr>
      <w:ind w:firstLine="270"/>
      <w:jc w:val="both"/>
    </w:pPr>
    <w:rPr>
      <w:sz w:val="20"/>
    </w:rPr>
  </w:style>
  <w:style w:type="character" w:customStyle="1" w:styleId="IsiChar">
    <w:name w:val="Isi Char"/>
    <w:link w:val="Isi"/>
    <w:rsid w:val="002418CE"/>
    <w:rPr>
      <w:rFonts w:ascii="Times New Roman" w:eastAsia="Times New Roman" w:hAnsi="Times New Roman" w:cs="Times New Roman"/>
      <w:sz w:val="20"/>
      <w:szCs w:val="24"/>
      <w:lang w:val="en-US"/>
    </w:rPr>
  </w:style>
  <w:style w:type="paragraph" w:customStyle="1" w:styleId="DaftarPustaka">
    <w:name w:val="Daftar Pustaka"/>
    <w:basedOn w:val="Normal"/>
    <w:link w:val="DaftarPustakaChar"/>
    <w:qFormat/>
    <w:rsid w:val="002418CE"/>
    <w:pPr>
      <w:keepNext/>
      <w:numPr>
        <w:numId w:val="4"/>
      </w:numPr>
      <w:tabs>
        <w:tab w:val="left" w:pos="360"/>
      </w:tabs>
      <w:ind w:left="360"/>
      <w:outlineLvl w:val="0"/>
    </w:pPr>
    <w:rPr>
      <w:bCs/>
      <w:kern w:val="32"/>
      <w:sz w:val="20"/>
      <w:szCs w:val="20"/>
    </w:rPr>
  </w:style>
  <w:style w:type="character" w:customStyle="1" w:styleId="DaftarPustakaChar">
    <w:name w:val="Daftar Pustaka Char"/>
    <w:link w:val="DaftarPustaka"/>
    <w:rsid w:val="002418CE"/>
    <w:rPr>
      <w:rFonts w:ascii="Times New Roman" w:eastAsia="Times New Roman" w:hAnsi="Times New Roman" w:cs="Times New Roman"/>
      <w:bCs/>
      <w:kern w:val="32"/>
      <w:sz w:val="20"/>
      <w:szCs w:val="20"/>
      <w:lang w:val="en-US"/>
    </w:rPr>
  </w:style>
  <w:style w:type="character" w:customStyle="1" w:styleId="tlid-translation">
    <w:name w:val="tlid-translation"/>
    <w:basedOn w:val="DefaultParagraphFont"/>
    <w:rsid w:val="00EB1BDB"/>
  </w:style>
  <w:style w:type="paragraph" w:customStyle="1" w:styleId="RESTIBodyText">
    <w:name w:val="RESTI_BodyText"/>
    <w:basedOn w:val="BodyText"/>
    <w:rsid w:val="001B0B47"/>
    <w:pPr>
      <w:spacing w:after="120"/>
      <w:jc w:val="left"/>
    </w:pPr>
    <w:rPr>
      <w:rFonts w:eastAsia="MS Mincho"/>
      <w:szCs w:val="24"/>
      <w:lang w:eastAsia="ja-JP"/>
    </w:rPr>
  </w:style>
  <w:style w:type="paragraph" w:customStyle="1" w:styleId="TeksNormal">
    <w:name w:val="Teks Normal"/>
    <w:basedOn w:val="Normal"/>
    <w:qFormat/>
    <w:rsid w:val="001B0B47"/>
    <w:pPr>
      <w:ind w:firstLine="245"/>
      <w:jc w:val="both"/>
    </w:pPr>
    <w:rPr>
      <w:sz w:val="20"/>
      <w:szCs w:val="20"/>
      <w:lang w:val="fi-FI"/>
    </w:rPr>
  </w:style>
  <w:style w:type="character" w:customStyle="1" w:styleId="RESTIParagraphChar">
    <w:name w:val="RESTIParagraph Char"/>
    <w:link w:val="RESTIParagraph"/>
    <w:rsid w:val="004578EA"/>
    <w:rPr>
      <w:rFonts w:ascii="Times New Roman" w:eastAsia="SimSun" w:hAnsi="Times New Roman"/>
      <w:sz w:val="24"/>
      <w:szCs w:val="24"/>
      <w:lang w:val="en-AU" w:eastAsia="zh-CN"/>
    </w:rPr>
  </w:style>
  <w:style w:type="paragraph" w:customStyle="1" w:styleId="RESTIParagraph">
    <w:name w:val="RESTIParagraph"/>
    <w:basedOn w:val="Normal"/>
    <w:link w:val="RESTIParagraphChar"/>
    <w:rsid w:val="004578EA"/>
    <w:pPr>
      <w:adjustRightInd w:val="0"/>
      <w:snapToGrid w:val="0"/>
      <w:ind w:firstLine="216"/>
      <w:jc w:val="both"/>
    </w:pPr>
    <w:rPr>
      <w:rFonts w:eastAsia="SimSun" w:cstheme="minorBidi"/>
      <w:lang w:val="en-AU" w:eastAsia="zh-CN"/>
    </w:rPr>
  </w:style>
  <w:style w:type="paragraph" w:customStyle="1" w:styleId="TableCategories">
    <w:name w:val="Table Categories"/>
    <w:basedOn w:val="TableCaption"/>
    <w:rsid w:val="00362AB7"/>
  </w:style>
  <w:style w:type="paragraph" w:styleId="Caption">
    <w:name w:val="caption"/>
    <w:basedOn w:val="Normal"/>
    <w:next w:val="Normal"/>
    <w:uiPriority w:val="35"/>
    <w:qFormat/>
    <w:rsid w:val="00362AB7"/>
    <w:pPr>
      <w:jc w:val="center"/>
    </w:pPr>
    <w:rPr>
      <w:rFonts w:eastAsia="Calibri"/>
      <w:bCs/>
      <w:sz w:val="16"/>
      <w:szCs w:val="18"/>
    </w:rPr>
  </w:style>
  <w:style w:type="paragraph" w:customStyle="1" w:styleId="TableCaption">
    <w:name w:val="Table Caption"/>
    <w:basedOn w:val="Normal"/>
    <w:rsid w:val="00362AB7"/>
    <w:pPr>
      <w:suppressAutoHyphens/>
      <w:jc w:val="both"/>
    </w:pPr>
    <w:rPr>
      <w:rFonts w:ascii="Arial" w:hAnsi="Arial"/>
      <w:sz w:val="16"/>
      <w:lang w:val="en-GB" w:eastAsia="ar-SA"/>
    </w:rPr>
  </w:style>
  <w:style w:type="paragraph" w:styleId="ListParagraph">
    <w:name w:val="List Paragraph"/>
    <w:basedOn w:val="Normal"/>
    <w:qFormat/>
    <w:rsid w:val="008B3AF1"/>
    <w:pPr>
      <w:ind w:left="720"/>
      <w:contextualSpacing/>
    </w:pPr>
  </w:style>
  <w:style w:type="character" w:styleId="Strong">
    <w:name w:val="Strong"/>
    <w:uiPriority w:val="22"/>
    <w:qFormat/>
    <w:rsid w:val="0013621D"/>
    <w:rPr>
      <w:b/>
      <w:bCs/>
    </w:rPr>
  </w:style>
  <w:style w:type="paragraph" w:customStyle="1" w:styleId="Default">
    <w:name w:val="Default"/>
    <w:rsid w:val="0013621D"/>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character" w:customStyle="1" w:styleId="apple-style-span">
    <w:name w:val="apple-style-span"/>
    <w:basedOn w:val="DefaultParagraphFont"/>
    <w:rsid w:val="0013621D"/>
  </w:style>
  <w:style w:type="character" w:customStyle="1" w:styleId="Heading3Char">
    <w:name w:val="Heading 3 Char"/>
    <w:basedOn w:val="DefaultParagraphFont"/>
    <w:link w:val="Heading3"/>
    <w:uiPriority w:val="9"/>
    <w:semiHidden/>
    <w:rsid w:val="00D1619B"/>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54975">
      <w:bodyDiv w:val="1"/>
      <w:marLeft w:val="0"/>
      <w:marRight w:val="0"/>
      <w:marTop w:val="0"/>
      <w:marBottom w:val="0"/>
      <w:divBdr>
        <w:top w:val="none" w:sz="0" w:space="0" w:color="auto"/>
        <w:left w:val="none" w:sz="0" w:space="0" w:color="auto"/>
        <w:bottom w:val="none" w:sz="0" w:space="0" w:color="auto"/>
        <w:right w:val="none" w:sz="0" w:space="0" w:color="auto"/>
      </w:divBdr>
    </w:div>
    <w:div w:id="1075737563">
      <w:bodyDiv w:val="1"/>
      <w:marLeft w:val="0"/>
      <w:marRight w:val="0"/>
      <w:marTop w:val="0"/>
      <w:marBottom w:val="0"/>
      <w:divBdr>
        <w:top w:val="none" w:sz="0" w:space="0" w:color="auto"/>
        <w:left w:val="none" w:sz="0" w:space="0" w:color="auto"/>
        <w:bottom w:val="none" w:sz="0" w:space="0" w:color="auto"/>
        <w:right w:val="none" w:sz="0" w:space="0" w:color="auto"/>
      </w:divBdr>
    </w:div>
    <w:div w:id="1251280771">
      <w:bodyDiv w:val="1"/>
      <w:marLeft w:val="0"/>
      <w:marRight w:val="0"/>
      <w:marTop w:val="0"/>
      <w:marBottom w:val="0"/>
      <w:divBdr>
        <w:top w:val="none" w:sz="0" w:space="0" w:color="auto"/>
        <w:left w:val="none" w:sz="0" w:space="0" w:color="auto"/>
        <w:bottom w:val="none" w:sz="0" w:space="0" w:color="auto"/>
        <w:right w:val="none" w:sz="0" w:space="0" w:color="auto"/>
      </w:divBdr>
    </w:div>
    <w:div w:id="188193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ejournal.unkhair.ac.id/index.php/jiko/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FAB6-FD56-4AAA-92B8-33EA83A0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8759</Words>
  <Characters>49932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 Tempola</dc:creator>
  <cp:keywords/>
  <dc:description/>
  <cp:lastModifiedBy>INA</cp:lastModifiedBy>
  <cp:revision>44</cp:revision>
  <dcterms:created xsi:type="dcterms:W3CDTF">2019-04-04T04:31:00Z</dcterms:created>
  <dcterms:modified xsi:type="dcterms:W3CDTF">2025-12-10T10:34:00Z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0459a79bd70a0c7042d1acc09fd36a021669c3d4102e230fb3f75a532f8709e9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970766c5-ceda-3193-97ba-41039c936736</vt:lpwstr>
  </property>
  <property fmtid="{D5CDD505-2E9C-101B-9397-08002B2CF9AE}" pid="25" name="Mendeley Citation Style_1">
    <vt:lpwstr>http://www.zotero.org/styles/ieee</vt:lpwstr>
  </property>
</Properties>
</file>